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spacing w:line="520" w:lineRule="exact"/>
        <w:ind w:firstLine="1680" w:firstLineChars="200"/>
        <w:jc w:val="right"/>
        <w:rPr>
          <w:rFonts w:hint="eastAsia" w:ascii="黑体" w:eastAsia="黑体"/>
          <w:color w:val="FF0000"/>
          <w:sz w:val="84"/>
          <w:szCs w:val="84"/>
        </w:rPr>
      </w:pPr>
    </w:p>
    <w:p>
      <w:pPr>
        <w:pStyle w:val="10"/>
        <w:jc w:val="center"/>
        <w:rPr>
          <w:rFonts w:ascii="华文中宋" w:hAnsi="华文中宋" w:eastAsia="华文中宋"/>
          <w:color w:val="FF0000"/>
          <w:spacing w:val="10"/>
          <w:sz w:val="90"/>
          <w:szCs w:val="90"/>
        </w:rPr>
      </w:pPr>
      <w:r>
        <w:rPr>
          <w:rFonts w:hint="eastAsia" w:ascii="华文中宋" w:hAnsi="华文中宋" w:eastAsia="华文中宋"/>
          <w:color w:val="FF0000"/>
          <w:spacing w:val="10"/>
          <w:sz w:val="90"/>
          <w:szCs w:val="90"/>
        </w:rPr>
        <w:t>泰宁县发展和改革局</w:t>
      </w:r>
    </w:p>
    <w:p>
      <w:pPr>
        <w:pStyle w:val="10"/>
        <w:spacing w:line="240" w:lineRule="exact"/>
        <w:jc w:val="center"/>
        <w:rPr>
          <w:rFonts w:ascii="华文中宋" w:hAnsi="华文中宋" w:eastAsia="华文中宋"/>
          <w:color w:val="FF0000"/>
          <w:sz w:val="90"/>
          <w:szCs w:val="90"/>
        </w:rPr>
      </w:pPr>
    </w:p>
    <w:p>
      <w:pPr>
        <w:spacing w:before="156" w:beforeLines="50" w:after="156" w:afterLines="50" w:line="560" w:lineRule="exact"/>
        <w:ind w:firstLine="2720" w:firstLineChars="850"/>
        <w:rPr>
          <w:rFonts w:ascii="华文中宋" w:hAnsi="华文中宋" w:eastAsia="华文中宋"/>
          <w:color w:val="FF0000"/>
          <w:sz w:val="90"/>
          <w:szCs w:val="90"/>
        </w:rPr>
      </w:pPr>
      <w:r>
        <w:rPr>
          <w:rFonts w:hint="eastAsia" w:ascii="仿宋_GB2312" w:hAnsi="宋体" w:eastAsia="仿宋_GB2312" w:cs="宋体"/>
          <w:color w:val="000000"/>
          <w:kern w:val="0"/>
          <w:sz w:val="32"/>
          <w:szCs w:val="32"/>
        </w:rPr>
        <w:t>泰发改〔</w:t>
      </w:r>
      <w:r>
        <w:rPr>
          <w:rFonts w:ascii="仿宋_GB2312" w:hAnsi="宋体" w:eastAsia="仿宋_GB2312" w:cs="宋体"/>
          <w:color w:val="000000"/>
          <w:kern w:val="0"/>
          <w:sz w:val="32"/>
          <w:szCs w:val="32"/>
        </w:rPr>
        <w:t>2020</w:t>
      </w:r>
      <w:r>
        <w:rPr>
          <w:rFonts w:hint="eastAsia" w:ascii="仿宋_GB2312" w:hAnsi="宋体" w:eastAsia="仿宋_GB2312" w:cs="宋体"/>
          <w:color w:val="000000"/>
          <w:kern w:val="0"/>
          <w:sz w:val="32"/>
          <w:szCs w:val="32"/>
        </w:rPr>
        <w:t>〕51号</w:t>
      </w:r>
    </w:p>
    <w:p>
      <w:pPr>
        <w:pStyle w:val="10"/>
        <w:spacing w:line="240" w:lineRule="exact"/>
        <w:jc w:val="center"/>
        <w:rPr>
          <w:rFonts w:hint="eastAsia" w:ascii="华文中宋" w:hAnsi="华文中宋" w:eastAsia="华文中宋"/>
          <w:color w:val="FF0000"/>
          <w:sz w:val="90"/>
          <w:szCs w:val="90"/>
        </w:rPr>
      </w:pPr>
    </w:p>
    <w:p>
      <w:pPr>
        <w:pStyle w:val="10"/>
        <w:ind w:right="640"/>
        <w:rPr>
          <w:rFonts w:hint="eastAsia" w:ascii="仿宋_GB2312"/>
          <w:szCs w:val="32"/>
        </w:rPr>
      </w:pPr>
      <w: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144145</wp:posOffset>
                </wp:positionV>
                <wp:extent cx="5775960" cy="0"/>
                <wp:effectExtent l="20955" t="17145" r="13335" b="209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12.6pt;margin-top:11.35pt;height:0pt;width:454.8pt;z-index:251659264;mso-width-relative:page;mso-height-relative:page;" filled="f" stroked="t" coordsize="21600,21600" o:gfxdata="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Qf8B1wAA&#10;AAkBAAAPAAAAAAAAAAEAIAAAACIAAABkcnMvZG93bnJldi54bWxQSwECFAAUAAAACACHTuJA7MFr&#10;2uYBAACrAwAADgAAAAAAAAABACAAAAAmAQAAZHJzL2Uyb0RvYy54bWxQSwUGAAAAAAYABgBZAQAA&#10;fgUAAAAA&#10;">
                <v:fill on="f" focussize="0,0"/>
                <v:stroke weight="2pt" color="#FF0000" joinstyle="round"/>
                <v:imagedata o:title=""/>
                <o:lock v:ext="edit" aspectratio="f"/>
              </v:line>
            </w:pict>
          </mc:Fallback>
        </mc:AlternateContent>
      </w:r>
    </w:p>
    <w:p>
      <w:pPr>
        <w:jc w:val="center"/>
        <w:rPr>
          <w:rFonts w:ascii="黑体" w:hAnsi="黑体" w:eastAsia="黑体"/>
          <w:sz w:val="44"/>
          <w:szCs w:val="44"/>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泰宁县发展和改革局关于调整景区机动车</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停放服务收费标准及有关事项的通知</w:t>
      </w:r>
    </w:p>
    <w:p>
      <w:pPr>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县各景区停车服务经营单位：</w:t>
      </w:r>
    </w:p>
    <w:p>
      <w:pPr>
        <w:widowControl/>
        <w:spacing w:line="560" w:lineRule="exact"/>
        <w:ind w:firstLine="640" w:firstLineChars="200"/>
        <w:outlineLvl w:val="3"/>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根据《福建省定价目录》、《福建省物价局 福建省住房和城乡建设厅 福建省交通运输厅关于进一步完善机动车停放服务收费政策的实施意见》（</w:t>
      </w:r>
      <w:r>
        <w:rPr>
          <w:rFonts w:ascii="仿宋_GB2312" w:hAnsi="宋体" w:eastAsia="仿宋_GB2312" w:cs="宋体"/>
          <w:color w:val="000000"/>
          <w:kern w:val="0"/>
          <w:sz w:val="32"/>
          <w:szCs w:val="32"/>
        </w:rPr>
        <w:t>闽价服〔2016〕233号</w:t>
      </w:r>
      <w:r>
        <w:rPr>
          <w:rFonts w:hint="eastAsia" w:ascii="仿宋_GB2312" w:hAnsi="宋体" w:eastAsia="仿宋_GB2312" w:cs="宋体"/>
          <w:color w:val="000000"/>
          <w:kern w:val="0"/>
          <w:sz w:val="32"/>
          <w:szCs w:val="32"/>
        </w:rPr>
        <w:t>）、</w:t>
      </w:r>
      <w:r>
        <w:rPr>
          <w:rFonts w:hint="eastAsia" w:ascii="Times New Roman" w:hAnsi="Times New Roman" w:eastAsia="仿宋_GB2312"/>
          <w:sz w:val="32"/>
          <w:szCs w:val="32"/>
        </w:rPr>
        <w:t>《三明市物价局 三明市住房和城乡建设局 三明市交通运输局关于印发〈三明市机动车停放服务收费管理办法〉的通知》</w:t>
      </w:r>
      <w:r>
        <w:rPr>
          <w:rFonts w:hint="eastAsia" w:ascii="仿宋_GB2312" w:hAnsi="宋体" w:eastAsia="仿宋_GB2312" w:cs="宋体"/>
          <w:color w:val="000000"/>
          <w:kern w:val="0"/>
          <w:sz w:val="32"/>
          <w:szCs w:val="32"/>
        </w:rPr>
        <w:t>（明价〔2017〕30号）等有关规定，通过价格调查、成本调查、听取社会意见、集体审议等定价程序，现将我县调整景区机动车停放服务收费标准及有关事项通知如下：</w:t>
      </w:r>
    </w:p>
    <w:p>
      <w:pPr>
        <w:widowControl/>
        <w:shd w:val="clear" w:color="auto" w:fill="FFFFFF"/>
        <w:spacing w:line="56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一、收费标准</w:t>
      </w:r>
    </w:p>
    <w:p>
      <w:pPr>
        <w:widowControl/>
        <w:shd w:val="clear" w:color="auto" w:fill="FFFFFF"/>
        <w:spacing w:line="56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景区机动车停放服务收费标准调整为：</w:t>
      </w:r>
    </w:p>
    <w:p>
      <w:pPr>
        <w:widowControl/>
        <w:shd w:val="clear" w:color="auto" w:fill="FFFFFF"/>
        <w:spacing w:line="56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小车（7座以下）：10元/辆·次；</w:t>
      </w:r>
    </w:p>
    <w:p>
      <w:pPr>
        <w:widowControl/>
        <w:shd w:val="clear" w:color="auto" w:fill="FFFFFF"/>
        <w:spacing w:line="56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中巴（8-</w:t>
      </w:r>
      <w:r>
        <w:rPr>
          <w:rFonts w:ascii="仿宋_GB2312" w:hAnsi="宋体" w:eastAsia="仿宋_GB2312" w:cs="宋体"/>
          <w:color w:val="000000"/>
          <w:kern w:val="0"/>
          <w:sz w:val="32"/>
          <w:szCs w:val="32"/>
        </w:rPr>
        <w:t>19</w:t>
      </w:r>
      <w:r>
        <w:rPr>
          <w:rFonts w:hint="eastAsia" w:ascii="仿宋_GB2312" w:hAnsi="宋体" w:eastAsia="仿宋_GB2312" w:cs="宋体"/>
          <w:color w:val="000000"/>
          <w:kern w:val="0"/>
          <w:sz w:val="32"/>
          <w:szCs w:val="32"/>
        </w:rPr>
        <w:t>座）：1</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元/辆·次；</w:t>
      </w:r>
    </w:p>
    <w:p>
      <w:pPr>
        <w:widowControl/>
        <w:shd w:val="clear" w:color="auto" w:fill="FFFFFF"/>
        <w:spacing w:line="560" w:lineRule="exact"/>
        <w:ind w:firstLine="64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 xml:space="preserve"> 大巴（</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座以上）：</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0元/辆·次。</w:t>
      </w:r>
    </w:p>
    <w:p>
      <w:pPr>
        <w:widowControl/>
        <w:shd w:val="clear" w:color="auto" w:fill="FFFFFF"/>
        <w:spacing w:line="56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二、收费范围</w:t>
      </w:r>
    </w:p>
    <w:p>
      <w:pPr>
        <w:widowControl/>
        <w:shd w:val="clear" w:color="auto" w:fill="FFFFFF"/>
        <w:spacing w:line="560" w:lineRule="exact"/>
        <w:ind w:firstLine="640"/>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实行政府定价管理的景区机动车停放服务收费范围为金湖、长兴服务区、寨下大峡谷、自然遗产展示中心、风洞码头、猫儿山、峨嵋峰、耕读李家等景区配建的停车场，其它本县范围内具有公益性特征的由旅游部门认定的景区（泰宁古城除外）可按本文件规定收费标准执行。</w:t>
      </w:r>
    </w:p>
    <w:p>
      <w:pPr>
        <w:widowControl/>
        <w:shd w:val="clear" w:color="auto" w:fill="FFFFFF"/>
        <w:spacing w:line="56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三、免费规定</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1.车辆停放时间在</w:t>
      </w:r>
      <w:r>
        <w:rPr>
          <w:rFonts w:ascii="仿宋_GB2312" w:hAnsi="宋体" w:eastAsia="仿宋_GB2312" w:cs="宋体"/>
          <w:color w:val="000000"/>
          <w:kern w:val="0"/>
          <w:sz w:val="32"/>
          <w:szCs w:val="32"/>
        </w:rPr>
        <w:t>30</w:t>
      </w:r>
      <w:r>
        <w:rPr>
          <w:rFonts w:hint="eastAsia" w:ascii="仿宋_GB2312" w:hAnsi="宋体" w:eastAsia="仿宋_GB2312" w:cs="宋体"/>
          <w:color w:val="000000"/>
          <w:kern w:val="0"/>
          <w:sz w:val="32"/>
          <w:szCs w:val="32"/>
        </w:rPr>
        <w:t>分钟内免费。</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对</w:t>
      </w:r>
      <w:r>
        <w:rPr>
          <w:rFonts w:hint="eastAsia" w:ascii="仿宋_GB2312" w:hAnsi="宋体" w:eastAsia="仿宋_GB2312" w:cs="宋体"/>
          <w:bCs/>
          <w:kern w:val="0"/>
          <w:sz w:val="32"/>
          <w:szCs w:val="32"/>
        </w:rPr>
        <w:t>下列情况免收停车费:</w:t>
      </w:r>
    </w:p>
    <w:p>
      <w:pPr>
        <w:widowControl/>
        <w:shd w:val="clear" w:color="auto" w:fill="FFFFFF"/>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r>
        <w:rPr>
          <w:rFonts w:ascii="仿宋_GB2312" w:hAnsi="宋体" w:eastAsia="仿宋_GB2312" w:cs="宋体"/>
          <w:bCs/>
          <w:kern w:val="0"/>
          <w:sz w:val="32"/>
          <w:szCs w:val="32"/>
        </w:rPr>
        <w:t xml:space="preserve"> </w:t>
      </w:r>
      <w:r>
        <w:rPr>
          <w:rFonts w:hint="eastAsia" w:ascii="仿宋_GB2312" w:hAnsi="宋体" w:eastAsia="仿宋_GB2312" w:cs="宋体"/>
          <w:bCs/>
          <w:kern w:val="0"/>
          <w:sz w:val="32"/>
          <w:szCs w:val="32"/>
        </w:rPr>
        <w:t>⑴执行任务的军车、警车、交通和城市管理行政执法车、消防车、救护车；</w:t>
      </w:r>
    </w:p>
    <w:p>
      <w:pPr>
        <w:widowControl/>
        <w:shd w:val="clear" w:color="auto" w:fill="FFFFFF"/>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⑵执行应急抢险救灾任务的车辆；</w:t>
      </w:r>
    </w:p>
    <w:p>
      <w:pPr>
        <w:widowControl/>
        <w:shd w:val="clear" w:color="auto" w:fill="FFFFFF"/>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⑶持残疾证的残疾人本人驾驶的合法残疾人专用车辆；</w:t>
      </w:r>
    </w:p>
    <w:p>
      <w:pPr>
        <w:widowControl/>
        <w:shd w:val="clear" w:color="auto" w:fill="FFFFFF"/>
        <w:spacing w:line="560" w:lineRule="exact"/>
        <w:ind w:firstLine="645"/>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⑷有权机关规定的其他情形。</w:t>
      </w:r>
    </w:p>
    <w:p>
      <w:pPr>
        <w:widowControl/>
        <w:shd w:val="clear" w:color="auto" w:fill="FFFFFF"/>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四、其它事项</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 w:hAnsi="仿宋" w:eastAsia="仿宋"/>
          <w:sz w:val="32"/>
          <w:szCs w:val="32"/>
        </w:rPr>
        <w:t>1.各景区停车服务经营单位</w:t>
      </w:r>
      <w:r>
        <w:rPr>
          <w:rFonts w:hint="eastAsia" w:ascii="仿宋_GB2312" w:hAnsi="宋体" w:eastAsia="仿宋_GB2312" w:cs="宋体"/>
          <w:color w:val="000000"/>
          <w:kern w:val="0"/>
          <w:sz w:val="32"/>
          <w:szCs w:val="32"/>
        </w:rPr>
        <w:t>要严格遵守价格法律法规，自觉规范价格行为，加强内部管理，完善停车设施，提升服务水平。</w:t>
      </w:r>
    </w:p>
    <w:p>
      <w:pPr>
        <w:widowControl/>
        <w:shd w:val="clear" w:color="auto" w:fill="FFFFFF"/>
        <w:spacing w:line="560" w:lineRule="exact"/>
        <w:ind w:firstLine="640" w:firstLineChars="200"/>
        <w:rPr>
          <w:rFonts w:ascii="宋体" w:hAnsi="宋体" w:eastAsia="宋体" w:cs="宋体"/>
          <w:color w:val="000000"/>
          <w:kern w:val="0"/>
          <w:sz w:val="24"/>
          <w:szCs w:val="24"/>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停车场所要严格落实明码标价制度，在醒目位置设置明码标价公示牌或公示栏（</w:t>
      </w:r>
      <w:r>
        <w:rPr>
          <w:rFonts w:hint="eastAsia" w:ascii="仿宋_GB2312" w:hAnsi="宋体" w:eastAsia="仿宋_GB2312" w:cs="宋体"/>
          <w:kern w:val="0"/>
          <w:sz w:val="32"/>
          <w:szCs w:val="32"/>
        </w:rPr>
        <w:t>公示牌采用蓝底白字</w:t>
      </w:r>
      <w:r>
        <w:rPr>
          <w:rFonts w:ascii="仿宋_GB2312" w:hAnsi="宋体" w:eastAsia="仿宋_GB2312" w:cs="宋体"/>
          <w:kern w:val="0"/>
          <w:sz w:val="32"/>
          <w:szCs w:val="32"/>
        </w:rPr>
        <w:t>）</w:t>
      </w:r>
      <w:r>
        <w:rPr>
          <w:rFonts w:hint="eastAsia" w:ascii="仿宋_GB2312" w:hAnsi="宋体" w:eastAsia="仿宋_GB2312" w:cs="宋体"/>
          <w:color w:val="000000"/>
          <w:kern w:val="0"/>
          <w:sz w:val="32"/>
          <w:szCs w:val="32"/>
        </w:rPr>
        <w:t>，标明停车场所名称、收费标准、收费依据、计费方式、免费时段等，自觉接受社会监督。</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五、本通知自20</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年1</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月1日起执行。</w:t>
      </w:r>
    </w:p>
    <w:p>
      <w:pPr>
        <w:widowControl/>
        <w:shd w:val="clear" w:color="auto" w:fill="FFFFFF"/>
        <w:spacing w:line="560" w:lineRule="exact"/>
        <w:ind w:firstLine="645"/>
        <w:jc w:val="left"/>
        <w:rPr>
          <w:rFonts w:ascii="仿宋_GB2312" w:hAnsi="宋体" w:eastAsia="仿宋_GB2312" w:cs="宋体"/>
          <w:color w:val="000000"/>
          <w:kern w:val="0"/>
          <w:sz w:val="32"/>
          <w:szCs w:val="32"/>
        </w:rPr>
      </w:pPr>
    </w:p>
    <w:p>
      <w:pPr>
        <w:widowControl/>
        <w:shd w:val="clear" w:color="auto" w:fill="FFFFFF"/>
        <w:spacing w:line="560" w:lineRule="exact"/>
        <w:ind w:firstLine="645"/>
        <w:jc w:val="left"/>
        <w:rPr>
          <w:rFonts w:ascii="仿宋_GB2312" w:hAnsi="宋体" w:eastAsia="仿宋_GB2312" w:cs="宋体"/>
          <w:color w:val="000000"/>
          <w:kern w:val="0"/>
          <w:sz w:val="32"/>
          <w:szCs w:val="32"/>
        </w:rPr>
      </w:pPr>
    </w:p>
    <w:p>
      <w:pPr>
        <w:widowControl/>
        <w:shd w:val="clear" w:color="auto" w:fill="FFFFFF"/>
        <w:spacing w:line="560" w:lineRule="exact"/>
        <w:ind w:firstLine="645"/>
        <w:jc w:val="left"/>
        <w:rPr>
          <w:rFonts w:ascii="仿宋_GB2312" w:hAnsi="宋体" w:eastAsia="仿宋_GB2312" w:cs="宋体"/>
          <w:color w:val="000000"/>
          <w:kern w:val="0"/>
          <w:sz w:val="32"/>
          <w:szCs w:val="32"/>
        </w:rPr>
      </w:pPr>
    </w:p>
    <w:p>
      <w:pPr>
        <w:widowControl/>
        <w:shd w:val="clear" w:color="auto" w:fill="FFFFFF"/>
        <w:spacing w:line="560" w:lineRule="exact"/>
        <w:ind w:firstLine="645"/>
        <w:jc w:val="left"/>
        <w:rPr>
          <w:rFonts w:ascii="仿宋_GB2312" w:hAnsi="宋体" w:eastAsia="仿宋_GB2312" w:cs="宋体"/>
          <w:color w:val="000000"/>
          <w:kern w:val="0"/>
          <w:sz w:val="32"/>
          <w:szCs w:val="32"/>
        </w:rPr>
      </w:pPr>
    </w:p>
    <w:p>
      <w:pPr>
        <w:widowControl/>
        <w:shd w:val="clear" w:color="auto" w:fill="FFFFFF"/>
        <w:spacing w:line="560" w:lineRule="exact"/>
        <w:ind w:firstLine="645"/>
        <w:jc w:val="left"/>
        <w:rPr>
          <w:rFonts w:hint="eastAsia" w:ascii="仿宋_GB2312" w:hAnsi="宋体" w:eastAsia="仿宋_GB2312" w:cs="宋体"/>
          <w:color w:val="000000"/>
          <w:kern w:val="0"/>
          <w:sz w:val="32"/>
          <w:szCs w:val="32"/>
        </w:rPr>
      </w:pPr>
    </w:p>
    <w:p>
      <w:pPr>
        <w:widowControl/>
        <w:shd w:val="clear" w:color="auto" w:fill="FFFFFF"/>
        <w:spacing w:line="560" w:lineRule="exact"/>
        <w:ind w:firstLine="645"/>
        <w:jc w:val="left"/>
        <w:rPr>
          <w:rFonts w:ascii="宋体" w:hAnsi="宋体" w:eastAsia="宋体" w:cs="宋体"/>
          <w:color w:val="000000"/>
          <w:kern w:val="0"/>
          <w:sz w:val="24"/>
          <w:szCs w:val="24"/>
        </w:rPr>
      </w:pPr>
    </w:p>
    <w:p>
      <w:pPr>
        <w:widowControl/>
        <w:shd w:val="clear" w:color="auto" w:fill="FFFFFF"/>
        <w:spacing w:line="560" w:lineRule="exact"/>
        <w:ind w:firstLine="645"/>
        <w:jc w:val="left"/>
        <w:rPr>
          <w:rFonts w:hint="eastAsia" w:ascii="宋体" w:hAnsi="宋体" w:eastAsia="宋体" w:cs="宋体"/>
          <w:color w:val="000000"/>
          <w:kern w:val="0"/>
          <w:sz w:val="24"/>
          <w:szCs w:val="24"/>
        </w:rPr>
      </w:pPr>
    </w:p>
    <w:p>
      <w:pPr>
        <w:widowControl/>
        <w:shd w:val="clear" w:color="auto" w:fill="FFFFFF"/>
        <w:spacing w:line="560" w:lineRule="exact"/>
        <w:ind w:firstLine="640"/>
        <w:jc w:val="left"/>
        <w:textAlignment w:val="baseline"/>
        <w:rPr>
          <w:rFonts w:ascii="宋体" w:hAnsi="宋体" w:eastAsia="宋体" w:cs="宋体"/>
          <w:color w:val="000000"/>
          <w:kern w:val="0"/>
          <w:sz w:val="24"/>
          <w:szCs w:val="24"/>
        </w:rPr>
      </w:pPr>
      <w:r>
        <w:rPr>
          <w:rFonts w:ascii="宋体" w:hAnsi="宋体" w:eastAsia="宋体" w:cs="宋体"/>
          <w:color w:val="333333"/>
          <w:kern w:val="0"/>
          <w:sz w:val="32"/>
          <w:szCs w:val="32"/>
        </w:rPr>
        <w:t xml:space="preserve">                           </w:t>
      </w:r>
      <w:r>
        <w:rPr>
          <w:rFonts w:hint="eastAsia" w:ascii="仿宋_GB2312" w:hAnsi="宋体" w:eastAsia="仿宋_GB2312" w:cs="宋体"/>
          <w:color w:val="000000"/>
          <w:kern w:val="0"/>
          <w:sz w:val="32"/>
          <w:szCs w:val="32"/>
        </w:rPr>
        <w:t>泰宁县发展和改革局</w:t>
      </w:r>
    </w:p>
    <w:p>
      <w:pPr>
        <w:widowControl/>
        <w:shd w:val="clear" w:color="auto" w:fill="FFFFFF"/>
        <w:spacing w:line="560" w:lineRule="exact"/>
        <w:ind w:left="3914" w:leftChars="1864" w:firstLine="1440" w:firstLineChars="450"/>
        <w:jc w:val="left"/>
        <w:rPr>
          <w:rFonts w:ascii="仿宋_GB2312" w:hAnsi="宋体" w:eastAsia="仿宋_GB2312" w:cs="宋体"/>
          <w:color w:val="000000"/>
          <w:kern w:val="0"/>
          <w:sz w:val="32"/>
          <w:szCs w:val="32"/>
        </w:rPr>
      </w:pPr>
      <w:r>
        <w:rPr>
          <w:rFonts w:ascii="宋体" w:hAnsi="宋体" w:eastAsia="宋体" w:cs="宋体"/>
          <w:color w:val="000000"/>
          <w:kern w:val="0"/>
          <w:sz w:val="32"/>
          <w:szCs w:val="32"/>
        </w:rPr>
        <w:t>2020</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11</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27</w:t>
      </w:r>
      <w:r>
        <w:rPr>
          <w:rFonts w:hint="eastAsia" w:ascii="仿宋_GB2312" w:hAnsi="宋体" w:eastAsia="仿宋_GB2312" w:cs="宋体"/>
          <w:color w:val="000000"/>
          <w:kern w:val="0"/>
          <w:sz w:val="32"/>
          <w:szCs w:val="32"/>
        </w:rPr>
        <w:t>日</w:t>
      </w:r>
    </w:p>
    <w:p>
      <w:pPr>
        <w:widowControl/>
        <w:shd w:val="clear" w:color="auto" w:fill="FFFFFF"/>
        <w:ind w:left="5249" w:leftChars="1814" w:hanging="1440"/>
        <w:jc w:val="left"/>
        <w:rPr>
          <w:rFonts w:ascii="仿宋_GB2312" w:hAnsi="宋体" w:eastAsia="仿宋_GB2312" w:cs="宋体"/>
          <w:color w:val="000000"/>
          <w:kern w:val="0"/>
          <w:sz w:val="32"/>
          <w:szCs w:val="32"/>
        </w:rPr>
      </w:pPr>
    </w:p>
    <w:p>
      <w:pPr>
        <w:widowControl/>
        <w:shd w:val="clear" w:color="auto" w:fill="FFFFFF"/>
        <w:ind w:left="5249" w:leftChars="1814" w:hanging="1440"/>
        <w:jc w:val="left"/>
        <w:rPr>
          <w:rFonts w:ascii="仿宋_GB2312" w:hAnsi="宋体" w:eastAsia="仿宋_GB2312" w:cs="宋体"/>
          <w:color w:val="000000"/>
          <w:kern w:val="0"/>
          <w:sz w:val="32"/>
          <w:szCs w:val="32"/>
        </w:rPr>
      </w:pPr>
    </w:p>
    <w:p>
      <w:pPr>
        <w:widowControl/>
        <w:shd w:val="clear" w:color="auto" w:fill="FFFFFF"/>
        <w:ind w:left="5249" w:leftChars="1814" w:hanging="1440"/>
        <w:jc w:val="left"/>
        <w:rPr>
          <w:rFonts w:ascii="仿宋_GB2312" w:hAnsi="宋体" w:eastAsia="仿宋_GB2312" w:cs="宋体"/>
          <w:color w:val="000000"/>
          <w:kern w:val="0"/>
          <w:sz w:val="32"/>
          <w:szCs w:val="32"/>
        </w:rPr>
      </w:pPr>
    </w:p>
    <w:p>
      <w:pPr>
        <w:widowControl/>
        <w:shd w:val="clear" w:color="auto" w:fill="FFFFFF"/>
        <w:ind w:left="5249" w:leftChars="1814" w:hanging="1440"/>
        <w:jc w:val="left"/>
        <w:rPr>
          <w:rFonts w:ascii="仿宋_GB2312" w:hAnsi="宋体" w:eastAsia="仿宋_GB2312" w:cs="宋体"/>
          <w:color w:val="000000"/>
          <w:kern w:val="0"/>
          <w:sz w:val="32"/>
          <w:szCs w:val="32"/>
        </w:rPr>
      </w:pPr>
    </w:p>
    <w:p>
      <w:pPr>
        <w:widowControl/>
        <w:shd w:val="clear" w:color="auto" w:fill="FFFFFF"/>
        <w:jc w:val="left"/>
        <w:rPr>
          <w:rFonts w:ascii="仿宋_GB2312" w:hAnsi="宋体" w:eastAsia="仿宋_GB2312" w:cs="宋体"/>
          <w:color w:val="000000"/>
          <w:kern w:val="0"/>
          <w:sz w:val="32"/>
          <w:szCs w:val="32"/>
        </w:rPr>
      </w:pPr>
      <w:bookmarkStart w:id="0" w:name="_GoBack"/>
      <w:bookmarkEnd w:id="0"/>
    </w:p>
    <w:p>
      <w:pPr>
        <w:jc w:val="left"/>
        <w:rPr>
          <w:rFonts w:ascii="仿宋" w:hAnsi="仿宋" w:eastAsia="仿宋"/>
          <w:sz w:val="32"/>
          <w:szCs w:val="32"/>
          <w:u w:val="single"/>
        </w:rPr>
      </w:pPr>
    </w:p>
    <w:p>
      <w:pPr>
        <w:jc w:val="left"/>
        <w:rPr>
          <w:rFonts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rPr>
        <w:t>抄送：市发改委，县政府办，县旅游管委会。</w:t>
      </w:r>
      <w:r>
        <w:rPr>
          <w:rFonts w:ascii="仿宋" w:hAnsi="仿宋" w:eastAsia="仿宋"/>
          <w:sz w:val="28"/>
          <w:szCs w:val="28"/>
          <w:u w:val="single"/>
        </w:rPr>
        <w:t xml:space="preserve">                    </w:t>
      </w:r>
    </w:p>
    <w:p>
      <w:pPr>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rPr>
        <w:t>泰宁县发展和改革局办公室</w:t>
      </w:r>
      <w:r>
        <w:rPr>
          <w:rFonts w:ascii="仿宋" w:hAnsi="仿宋" w:eastAsia="仿宋"/>
          <w:sz w:val="28"/>
          <w:szCs w:val="28"/>
          <w:u w:val="single"/>
        </w:rPr>
        <w:t xml:space="preserve">              2020</w:t>
      </w:r>
      <w:r>
        <w:rPr>
          <w:rFonts w:hint="eastAsia" w:ascii="仿宋" w:hAnsi="仿宋" w:eastAsia="仿宋"/>
          <w:sz w:val="28"/>
          <w:szCs w:val="28"/>
          <w:u w:val="single"/>
        </w:rPr>
        <w:t>年</w:t>
      </w:r>
      <w:r>
        <w:rPr>
          <w:rFonts w:ascii="仿宋" w:hAnsi="仿宋" w:eastAsia="仿宋"/>
          <w:sz w:val="28"/>
          <w:szCs w:val="28"/>
          <w:u w:val="single"/>
        </w:rPr>
        <w:t>11</w:t>
      </w:r>
      <w:r>
        <w:rPr>
          <w:rFonts w:hint="eastAsia" w:ascii="仿宋" w:hAnsi="仿宋" w:eastAsia="仿宋"/>
          <w:sz w:val="28"/>
          <w:szCs w:val="28"/>
          <w:u w:val="single"/>
        </w:rPr>
        <w:t>月</w:t>
      </w:r>
      <w:r>
        <w:rPr>
          <w:rFonts w:ascii="仿宋" w:hAnsi="仿宋" w:eastAsia="仿宋"/>
          <w:sz w:val="28"/>
          <w:szCs w:val="28"/>
          <w:u w:val="single"/>
        </w:rPr>
        <w:t>27</w:t>
      </w:r>
      <w:r>
        <w:rPr>
          <w:rFonts w:hint="eastAsia" w:ascii="仿宋" w:hAnsi="仿宋" w:eastAsia="仿宋"/>
          <w:sz w:val="28"/>
          <w:szCs w:val="28"/>
          <w:u w:val="single"/>
        </w:rPr>
        <w:t>日印发</w:t>
      </w:r>
      <w:r>
        <w:rPr>
          <w:rFonts w:ascii="仿宋" w:hAnsi="仿宋" w:eastAsia="仿宋"/>
          <w:sz w:val="28"/>
          <w:szCs w:val="28"/>
          <w:u w:val="single"/>
        </w:rPr>
        <w:t xml:space="preserve">   </w:t>
      </w:r>
    </w:p>
    <w:sectPr>
      <w:pgSz w:w="11906" w:h="16838"/>
      <w:pgMar w:top="1531"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92"/>
    <w:rsid w:val="000001BC"/>
    <w:rsid w:val="0000367A"/>
    <w:rsid w:val="00011577"/>
    <w:rsid w:val="00086044"/>
    <w:rsid w:val="000B77F0"/>
    <w:rsid w:val="00107B87"/>
    <w:rsid w:val="001123AB"/>
    <w:rsid w:val="00161D03"/>
    <w:rsid w:val="00187312"/>
    <w:rsid w:val="001A1FF7"/>
    <w:rsid w:val="0021357C"/>
    <w:rsid w:val="002509BB"/>
    <w:rsid w:val="00260119"/>
    <w:rsid w:val="00275C3F"/>
    <w:rsid w:val="002875A3"/>
    <w:rsid w:val="002A6124"/>
    <w:rsid w:val="002D48FD"/>
    <w:rsid w:val="002E75E1"/>
    <w:rsid w:val="00336929"/>
    <w:rsid w:val="00376E42"/>
    <w:rsid w:val="00380C0E"/>
    <w:rsid w:val="00397B9E"/>
    <w:rsid w:val="003B082A"/>
    <w:rsid w:val="003D2E34"/>
    <w:rsid w:val="00426423"/>
    <w:rsid w:val="00480752"/>
    <w:rsid w:val="0048241F"/>
    <w:rsid w:val="005B38A2"/>
    <w:rsid w:val="005D2292"/>
    <w:rsid w:val="00600E79"/>
    <w:rsid w:val="00627730"/>
    <w:rsid w:val="006442C6"/>
    <w:rsid w:val="00651C29"/>
    <w:rsid w:val="00675815"/>
    <w:rsid w:val="006A1C87"/>
    <w:rsid w:val="006E6974"/>
    <w:rsid w:val="007419FF"/>
    <w:rsid w:val="007779AF"/>
    <w:rsid w:val="007B60BC"/>
    <w:rsid w:val="007E57E0"/>
    <w:rsid w:val="00812D04"/>
    <w:rsid w:val="00841C62"/>
    <w:rsid w:val="00842A04"/>
    <w:rsid w:val="0084431F"/>
    <w:rsid w:val="00866984"/>
    <w:rsid w:val="008C1096"/>
    <w:rsid w:val="008D21CD"/>
    <w:rsid w:val="00932E64"/>
    <w:rsid w:val="009334F2"/>
    <w:rsid w:val="00934737"/>
    <w:rsid w:val="00934F25"/>
    <w:rsid w:val="009B4C08"/>
    <w:rsid w:val="00A1647C"/>
    <w:rsid w:val="00A666C6"/>
    <w:rsid w:val="00A759B2"/>
    <w:rsid w:val="00A918D0"/>
    <w:rsid w:val="00A94A12"/>
    <w:rsid w:val="00AB2C13"/>
    <w:rsid w:val="00AF4907"/>
    <w:rsid w:val="00B00A6D"/>
    <w:rsid w:val="00B15AEE"/>
    <w:rsid w:val="00B73BA1"/>
    <w:rsid w:val="00B9271C"/>
    <w:rsid w:val="00B92F38"/>
    <w:rsid w:val="00BD5B0F"/>
    <w:rsid w:val="00C061A4"/>
    <w:rsid w:val="00C51C87"/>
    <w:rsid w:val="00CC6C01"/>
    <w:rsid w:val="00CD638D"/>
    <w:rsid w:val="00CF47C3"/>
    <w:rsid w:val="00CF4F58"/>
    <w:rsid w:val="00D011F8"/>
    <w:rsid w:val="00D41560"/>
    <w:rsid w:val="00D97985"/>
    <w:rsid w:val="00E106B9"/>
    <w:rsid w:val="00E34A38"/>
    <w:rsid w:val="00F32DAD"/>
    <w:rsid w:val="00FA3F1E"/>
    <w:rsid w:val="143E0C40"/>
    <w:rsid w:val="1D4D47B4"/>
    <w:rsid w:val="22C71ACE"/>
    <w:rsid w:val="7F5E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信访信函内容"/>
    <w:basedOn w:val="1"/>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Words>
  <Characters>878</Characters>
  <Lines>7</Lines>
  <Paragraphs>2</Paragraphs>
  <TotalTime>369</TotalTime>
  <ScaleCrop>false</ScaleCrop>
  <LinksUpToDate>false</LinksUpToDate>
  <CharactersWithSpaces>1030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2018-11-13T07:10:00Z</dcterms:created>
  <dc:creator>admin</dc:creator>
  <cp:lastModifiedBy>Administrator</cp:lastModifiedBy>
  <cp:lastPrinted>2020-11-27T01:34:00Z</cp:lastPrinted>
  <dcterms:modified xsi:type="dcterms:W3CDTF">2023-12-19T02:19:00Z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F24DC2D298DA479C8859151818E81F57</vt:lpwstr>
  </property>
</Properties>
</file>