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泰宁县司法局及下属单位综合性涉企收费目录清单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单位：泰宁县司法局                                                           联系人及联系电话：卢达贤 7832323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585"/>
        <w:gridCol w:w="1155"/>
        <w:gridCol w:w="1275"/>
        <w:gridCol w:w="1365"/>
        <w:gridCol w:w="1320"/>
        <w:gridCol w:w="1470"/>
        <w:gridCol w:w="1530"/>
        <w:gridCol w:w="1910"/>
        <w:gridCol w:w="6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泰宁县司法局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本级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政府部门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456"/>
              </w:tabs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泰宁县司法局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泰宁县公证处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事业单位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公证服务费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政府定价的经营服务性收费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公证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  <w:t>参见闽发改服价〔2021〕533号政策文件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政府制定（福建省发展和改革委员会、福建省司法厅）</w:t>
            </w:r>
          </w:p>
        </w:tc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《中华人民共和国公证法》《福建省定价目录》《福建省公证服务收费管理暂行办法》等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F1807"/>
    <w:rsid w:val="1CAD6DDB"/>
    <w:rsid w:val="2A09684D"/>
    <w:rsid w:val="2AF0486A"/>
    <w:rsid w:val="3CE02F79"/>
    <w:rsid w:val="3DDD74F0"/>
    <w:rsid w:val="4AFB296F"/>
    <w:rsid w:val="532F0BAE"/>
    <w:rsid w:val="6A755F54"/>
    <w:rsid w:val="70EE216E"/>
    <w:rsid w:val="7DD71D9B"/>
    <w:rsid w:val="EE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652</Words>
  <Characters>679</Characters>
  <Lines>0</Lines>
  <Paragraphs>0</Paragraphs>
  <TotalTime>1</TotalTime>
  <ScaleCrop>false</ScaleCrop>
  <LinksUpToDate>false</LinksUpToDate>
  <CharactersWithSpaces>740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2025-09-23T00:37:00Z</dcterms:created>
  <dc:creator>Administrator</dc:creator>
  <cp:lastModifiedBy>独往</cp:lastModifiedBy>
  <dcterms:modified xsi:type="dcterms:W3CDTF">2025-12-30T09:00:26Z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eyJoZGlkIjoiZWQxOTQzZGFjNjdhMTZjOGViODczNDU2OGU3ZDFmZTYifQ==</vt:lpwstr>
  </property>
  <property fmtid="{D5CDD505-2E9C-101B-9397-08002B2CF9AE}" pid="4" name="ICV">
    <vt:lpwstr>EF4342829939418B742953697F30086C</vt:lpwstr>
  </property>
</Properties>
</file>