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泰宁县财政局 中共泰宁县委政法委员会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严重精神障碍患者救治救助及以奖代补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的公示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根据《福建省实施以奖代补落实严重精神障碍患者监护责任的暂行办法》（闽综治委〔2016〕10号）文件精神和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市综治办《关于印发〈三明市全面推行严重精神障碍患者救治救助管理“1234”工作模式实施意见〉的通知》的精神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，现下达2022年度严重精神障碍患者救治救助及以奖代补资金60万元，用于严重精神障碍患者救治救助及以奖代补和社会保险，支出列“2013699-其他共产党事务支出”科目。</w:t>
      </w:r>
    </w:p>
    <w:p>
      <w:pPr>
        <w:spacing w:line="580" w:lineRule="exact"/>
        <w:ind w:firstLine="645"/>
        <w:rPr>
          <w:rFonts w:ascii="仿宋" w:hAnsi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一、资金分配原则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省、市文件精神和实施意见，结合我县实际，资金按照《泰宁县全面推行严重精神障碍患者救治救助管理“1234”工作模式实施意见》（泰综治办〔2018〕15号）和《泰宁县严重精神障碍患者救治救助基金管理办法（试行）》泰平安办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eastAsia="zh-CN"/>
        </w:rPr>
        <w:t>号文件进行使用。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二、明确扶持重点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确保严重精神障碍患者不因贫困得不到救治，不因疏于救治管理而伤害自身或危害社会，最大限度预防和减少肇事肇祸案（事）件发生。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资金用于办理严重精神障碍患者伤害社会保险、设立严重精神障碍患者救治救助基金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和推行严重精神障碍患者以奖代补政策。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三、抓好工作落实</w:t>
      </w:r>
    </w:p>
    <w:p>
      <w:pPr>
        <w:spacing w:line="560" w:lineRule="exact"/>
        <w:ind w:firstLine="64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按照《泰宁县全面推行严重精神障碍患者救治救助管理“1234”工作模式实施意见》（泰综治办〔2018〕15号）文件执行，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把全面推行“1234”工作模式列入年度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平安建设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评内容，对因工作不重视、监管不到位、救治不及时，或不服从综治调度指令，协作配合不力，导致发生肇事肇祸重大案（事）件的，将根据《福建省规范严重精神障碍患者肇事肇祸案（事）件综治问责暂行办法》，严肃追究相关负责人和部门的责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四、强化资金监管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《福建省实施以奖代补落实严重精神障碍患者监护责任的暂行办法》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等有关规定，精准使用资金，加快项目实施和资金拨付，防止资金结余。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县委政法委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、财政局要组织做好资金绩效目标管理工作，合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理确定绩效目标及指标，作为绩效执行监控和绩效评价的依据。请做好绩效跟踪管理，切实提高财政资金使用效益。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2022年4月1日--2022年4月8日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联系电话：7836929</w:t>
      </w:r>
    </w:p>
    <w:p>
      <w:pPr>
        <w:spacing w:line="58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中共泰宁县委政法委员会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泰宁县财政局</w:t>
      </w:r>
    </w:p>
    <w:p>
      <w:pPr>
        <w:spacing w:line="58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F6B43"/>
    <w:rsid w:val="066404A2"/>
    <w:rsid w:val="0E5F6B43"/>
    <w:rsid w:val="1273735E"/>
    <w:rsid w:val="667E1604"/>
    <w:rsid w:val="7E61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540" w:firstLineChars="225"/>
    </w:pPr>
    <w:rPr>
      <w:kern w:val="0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754</Characters>
  <Lines>0</Lines>
  <Paragraphs>0</Paragraphs>
  <TotalTime>3</TotalTime>
  <ScaleCrop>false</ScaleCrop>
  <LinksUpToDate>false</LinksUpToDate>
  <CharactersWithSpaces>765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2022-05-05T08:08:00Z</dcterms:created>
  <dc:creator>北城别。</dc:creator>
  <cp:lastModifiedBy>Administrator</cp:lastModifiedBy>
  <dcterms:modified xsi:type="dcterms:W3CDTF">2022-05-30T12:24:05Z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53FCBD7A2C02403A92960D4D97145269</vt:lpwstr>
  </property>
</Properties>
</file>