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6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根据国务院关于推进政府预算信息公开的决策部署和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政府工作安排，202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泰宁县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本级使用一般公共预算拨款安排的“三公”经费预算数为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945.72万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比上年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46.26万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，主要是贯彻落实中央有关政府要带头过“紧日子”要求，从严安排县本级“三公”经费预算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其中，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因公出国（境）经费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万元，同比上年预算数减少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20.38万元，下降82.24%，主要原因是23年预算安排的因公出国（境）人员减少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；公务接待费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390.89万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72万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元，公务用车运行经费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329.43万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4.12万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元，主要原因是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/>
        </w:rPr>
        <w:t>近年来油价上涨较多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；公务用车购置经费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90万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8.85万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元，主要原因是公安局购置执法用车减少。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6FB"/>
    <w:rsid w:val="00870A9E"/>
    <w:rsid w:val="008778A4"/>
    <w:rsid w:val="008D0B44"/>
    <w:rsid w:val="008E425B"/>
    <w:rsid w:val="008F20C9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B11519"/>
    <w:rsid w:val="00B3324F"/>
    <w:rsid w:val="00B72365"/>
    <w:rsid w:val="00B735D5"/>
    <w:rsid w:val="00B85A8A"/>
    <w:rsid w:val="00BA44ED"/>
    <w:rsid w:val="00BA70B0"/>
    <w:rsid w:val="00BC16F8"/>
    <w:rsid w:val="00BD4EEF"/>
    <w:rsid w:val="00C45414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73C37A7"/>
    <w:rsid w:val="0A0107A0"/>
    <w:rsid w:val="10CA03D7"/>
    <w:rsid w:val="22CC0641"/>
    <w:rsid w:val="4B8F726A"/>
    <w:rsid w:val="74FA9664"/>
    <w:rsid w:val="7AA4501F"/>
    <w:rsid w:val="7AA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464</TotalTime>
  <ScaleCrop>false</ScaleCrop>
  <LinksUpToDate>false</LinksUpToDate>
  <CharactersWithSpaces>270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2013-05-20T15:54:00Z</dcterms:created>
  <dc:creator>预算处/唐真</dc:creator>
  <cp:lastModifiedBy>Administrator</cp:lastModifiedBy>
  <cp:lastPrinted>2016-02-03T11:00:00Z</cp:lastPrinted>
  <dcterms:modified xsi:type="dcterms:W3CDTF">2023-03-09T02:20:08Z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