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中国共产党泰宁县委员会党校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预决算公开管理</w:t>
      </w:r>
      <w:bookmarkStart w:id="0" w:name="_GoBack"/>
      <w:bookmarkEnd w:id="0"/>
      <w:r>
        <w:rPr>
          <w:rFonts w:hint="eastAsia" w:ascii="方正小标宋简体" w:hAnsi="方正小标宋简体" w:eastAsia="方正小标宋简体" w:cs="方正小标宋简体"/>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校财务室要高度重视，充分认识部门预决算公开工作的必要性和重要性，认真做好校部门预决算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二、预决算公开的原则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（一）积极公开。以公开为常态、不公开为例外，除涉及国家秘密的信息外，不得少公开、不公开应当公开的事项，保证公开内容全面、真实、完整；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（二）强化责任。坚持谁主管、谁公开、谁负责，依法主动公开预决算信息。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三、预决算公开职责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部门预决算由校财务室负责公开。除涉密信息外，财务室应主动、及时向社会公开经县财政局批复的预算、决算及报表等预决算信息。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仿宋" w:hAnsi="仿宋" w:eastAsia="仿宋" w:cs="仿宋"/>
          <w:sz w:val="32"/>
          <w:szCs w:val="32"/>
          <w:lang w:val="en-US" w:eastAsia="zh-CN"/>
        </w:rPr>
        <w:t>、</w:t>
      </w:r>
      <w:r>
        <w:rPr>
          <w:rFonts w:hint="eastAsia" w:ascii="黑体" w:hAnsi="黑体" w:eastAsia="黑体" w:cs="黑体"/>
          <w:sz w:val="32"/>
          <w:szCs w:val="32"/>
          <w:lang w:val="en-US" w:eastAsia="zh-CN"/>
        </w:rPr>
        <w:t>预决算公开时间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部门预决算应当在县财政局批复后20日内向社会公开。财务室必须在规定的时限内公开，公开时间可适当提前，原则上在同一天集中公开。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五、部门预决算公开内容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部门预决算公开内容为县财政局批复的部门预决算及报表，包括部门收支总体情况和财政拔款收支情况，公开表如下：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（二）部门收入预算总表；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（三）部门支出预算总表；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（五）一般公共预算拨款支出预算表；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（六）政府性基金拨款支出预算表；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（七）一般公共预算支出经济分类情况表；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（八）一般公共预算基本支出经济分类情况表；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（十）部门业务费绩效目标表；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（十一）专项资金绩效目标表。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对属于公开范围的部门预决算报表，没有数据的表格应当列出空表并说明。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当细化到“公务用车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公开预决算表的同时，应当一并公开部门预算说明、部门的职责、机构设置、预决算收支增减变化、机关运行经费安排、政府采购、国有资产占有使用、预算绩效等情况的说明，并对专业性较强的名词进行解释。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“预算绩效”情况应当结合工作进展推进预算绩效信息公开，逐步在部门预算中公开部门和单位重点项目预算的绩效目标，在部门决算中公开主要民生项目和重点支出项目的绩效评价结果。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六、预决算公开方式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在县政府门户网站预决算公开专栏上公开。公开时应当编制目录，对公开内容进行分类、分级，方便公众查阅和监督。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474"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32F4"/>
    <w:rsid w:val="126F32F4"/>
    <w:rsid w:val="29D315B2"/>
    <w:rsid w:val="58AF0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2021-08-03T03:46:00Z</dcterms:created>
  <dc:creator>陈群</dc:creator>
  <cp:lastModifiedBy>Administrator</cp:lastModifiedBy>
  <dcterms:modified xsi:type="dcterms:W3CDTF">2022-01-20T10:38:20Z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244606F1F7C44F5DA10C8DFB48E0E0D4</vt:lpwstr>
  </property>
</Properties>
</file>