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rPr>
          <w:rFonts w:hint="eastAsia"/>
        </w:rPr>
      </w:pPr>
    </w:p>
    <w:p>
      <w:pPr>
        <w:jc w:val="center"/>
        <w:rPr>
          <w:rFonts w:hint="eastAsia" w:ascii="仿宋_GB2312" w:eastAsia="仿宋_GB2312"/>
          <w:sz w:val="34"/>
          <w:szCs w:val="34"/>
        </w:rPr>
      </w:pPr>
    </w:p>
    <w:p>
      <w:pPr>
        <w:jc w:val="center"/>
        <w:rPr>
          <w:rFonts w:hint="eastAsia" w:ascii="仿宋_GB2312" w:eastAsia="仿宋_GB2312"/>
          <w:sz w:val="34"/>
          <w:szCs w:val="34"/>
        </w:rPr>
      </w:pPr>
    </w:p>
    <w:p>
      <w:pPr>
        <w:jc w:val="center"/>
        <w:rPr>
          <w:rFonts w:hint="eastAsia" w:ascii="仿宋_GB2312" w:eastAsia="仿宋_GB2312"/>
          <w:sz w:val="34"/>
          <w:szCs w:val="34"/>
        </w:rPr>
      </w:pPr>
    </w:p>
    <w:p>
      <w:pPr>
        <w:jc w:val="center"/>
        <w:rPr>
          <w:rFonts w:hint="eastAsia" w:ascii="仿宋_GB2312" w:eastAsia="仿宋_GB2312"/>
          <w:sz w:val="34"/>
          <w:szCs w:val="34"/>
        </w:rPr>
      </w:pPr>
    </w:p>
    <w:p>
      <w:pPr>
        <w:jc w:val="center"/>
        <w:rPr>
          <w:rFonts w:hint="eastAsia" w:ascii="仿宋_GB2312" w:eastAsia="仿宋_GB2312"/>
          <w:sz w:val="34"/>
          <w:szCs w:val="34"/>
        </w:rPr>
      </w:pPr>
    </w:p>
    <w:p>
      <w:pPr>
        <w:jc w:val="center"/>
        <w:rPr>
          <w:rFonts w:hint="eastAsia" w:ascii="仿宋_GB2312" w:eastAsia="仿宋_GB2312"/>
          <w:sz w:val="34"/>
          <w:szCs w:val="34"/>
        </w:rPr>
      </w:pPr>
    </w:p>
    <w:p>
      <w:pPr>
        <w:ind w:firstLine="160" w:firstLineChars="50"/>
        <w:jc w:val="center"/>
        <w:rPr>
          <w:rFonts w:hint="eastAsia" w:ascii="楷体_GB2312" w:eastAsia="楷体_GB2312"/>
          <w:sz w:val="32"/>
          <w:szCs w:val="32"/>
        </w:rPr>
      </w:pPr>
      <w:r>
        <w:rPr>
          <w:rFonts w:hint="eastAsia" w:ascii="仿宋_GB2312" w:eastAsia="仿宋_GB2312"/>
          <w:sz w:val="32"/>
          <w:szCs w:val="32"/>
        </w:rPr>
        <w:t>泰</w:t>
      </w:r>
      <w:r>
        <w:rPr>
          <w:rFonts w:hint="eastAsia" w:ascii="仿宋_GB2312" w:eastAsia="仿宋_GB2312"/>
          <w:sz w:val="32"/>
          <w:szCs w:val="32"/>
          <w:lang w:eastAsia="zh-CN"/>
        </w:rPr>
        <w:t>委校</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pPr>
        <w:rPr>
          <w:rFonts w:hint="eastAsia" w:eastAsia="宋体"/>
          <w:lang w:val="en-US" w:eastAsia="zh-CN"/>
        </w:rPr>
      </w:pPr>
      <w:r>
        <w:rPr>
          <w:rFonts w:hint="eastAsia"/>
          <w:lang w:val="en-US" w:eastAsia="zh-CN"/>
        </w:rPr>
        <w:t xml:space="preserve"> </w:t>
      </w:r>
    </w:p>
    <w:p>
      <w:pPr>
        <w:spacing w:line="360" w:lineRule="exact"/>
        <w:rPr>
          <w:rFonts w:hint="eastAsia"/>
        </w:rPr>
      </w:pPr>
    </w:p>
    <w:p>
      <w:pPr>
        <w:spacing w:line="7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eastAsia="zh-CN"/>
        </w:rPr>
        <w:t>中共泰宁县委党校</w:t>
      </w:r>
      <w:r>
        <w:rPr>
          <w:rFonts w:hint="eastAsia" w:ascii="方正小标宋简体" w:hAnsi="黑体" w:eastAsia="方正小标宋简体"/>
          <w:sz w:val="44"/>
          <w:szCs w:val="44"/>
          <w:lang w:val="en-US" w:eastAsia="zh-CN"/>
        </w:rPr>
        <w:t xml:space="preserve"> 泰宁县行政学校</w:t>
      </w:r>
    </w:p>
    <w:p>
      <w:pPr>
        <w:spacing w:line="7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eastAsia="zh-CN"/>
        </w:rPr>
        <w:t>预决算公开管理办法的通知</w:t>
      </w:r>
    </w:p>
    <w:p>
      <w:pPr>
        <w:spacing w:line="560" w:lineRule="exact"/>
        <w:rPr>
          <w:rFonts w:hint="eastAsia" w:ascii="仿宋_GB2312" w:eastAsia="仿宋_GB2312"/>
          <w:spacing w:val="8"/>
          <w:sz w:val="32"/>
          <w:szCs w:val="32"/>
          <w:lang w:val="en-US" w:eastAsia="zh-CN"/>
        </w:rPr>
      </w:pPr>
    </w:p>
    <w:p>
      <w:p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为进一步推进预决算公开工作，根据《福建省财政厅关于印发福建省预决算公开操作规程的通知》（闽财预</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pacing w:val="8"/>
          <w:sz w:val="32"/>
          <w:szCs w:val="32"/>
          <w:lang w:val="en-US" w:eastAsia="zh-CN"/>
        </w:rPr>
        <w:t>38号）和《泰宁县财政局关于预决算公开管理办法的通知》（泰财预〔2018〕1号）要求，现就我校部门预决算公开工作通知如下，请认真贯彻执行。</w:t>
      </w:r>
    </w:p>
    <w:p>
      <w:pPr>
        <w:numPr>
          <w:ilvl w:val="0"/>
          <w:numId w:val="1"/>
        </w:numPr>
        <w:spacing w:line="560" w:lineRule="exact"/>
        <w:ind w:left="684" w:leftChars="0" w:firstLine="0" w:firstLineChars="0"/>
        <w:rPr>
          <w:rFonts w:hint="eastAsia" w:ascii="仿宋_GB2312" w:eastAsia="仿宋_GB2312"/>
          <w:b/>
          <w:bCs/>
          <w:spacing w:val="8"/>
          <w:sz w:val="32"/>
          <w:szCs w:val="32"/>
          <w:lang w:val="en-US" w:eastAsia="zh-CN"/>
        </w:rPr>
      </w:pPr>
      <w:r>
        <w:rPr>
          <w:rFonts w:hint="eastAsia" w:ascii="黑体" w:hAnsi="黑体" w:eastAsia="黑体" w:cs="黑体"/>
          <w:b w:val="0"/>
          <w:bCs w:val="0"/>
          <w:spacing w:val="8"/>
          <w:sz w:val="32"/>
          <w:szCs w:val="32"/>
          <w:lang w:val="en-US" w:eastAsia="zh-CN"/>
        </w:rPr>
        <w:t>总体要求</w:t>
      </w:r>
    </w:p>
    <w:p>
      <w:pPr>
        <w:numPr>
          <w:ilvl w:val="0"/>
          <w:numId w:val="0"/>
        </w:numPr>
        <w:spacing w:line="560" w:lineRule="exact"/>
        <w:ind w:firstLine="672" w:firstLineChars="200"/>
        <w:rPr>
          <w:rFonts w:hint="eastAsia" w:ascii="仿宋_GB2312" w:eastAsia="仿宋_GB2312"/>
          <w:b w:val="0"/>
          <w:bCs w:val="0"/>
          <w:spacing w:val="8"/>
          <w:sz w:val="32"/>
          <w:szCs w:val="32"/>
          <w:lang w:val="en-US" w:eastAsia="zh-CN"/>
        </w:rPr>
      </w:pPr>
      <w:r>
        <w:rPr>
          <w:rFonts w:hint="eastAsia" w:ascii="仿宋_GB2312" w:eastAsia="仿宋_GB2312"/>
          <w:b w:val="0"/>
          <w:bCs w:val="0"/>
          <w:spacing w:val="8"/>
          <w:sz w:val="32"/>
          <w:szCs w:val="32"/>
          <w:lang w:val="en-US" w:eastAsia="zh-CN"/>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校财务室要高度重视，充分认识部门预决算公开工作的必要性和重要性，认真做好校部门预决算公开工作。</w:t>
      </w:r>
    </w:p>
    <w:p>
      <w:pPr>
        <w:spacing w:line="560" w:lineRule="exact"/>
        <w:ind w:firstLine="672" w:firstLineChars="200"/>
        <w:rPr>
          <w:rFonts w:hint="eastAsia" w:ascii="仿宋_GB2312" w:eastAsia="仿宋_GB2312"/>
          <w:spacing w:val="8"/>
          <w:sz w:val="32"/>
          <w:szCs w:val="32"/>
          <w:lang w:val="en-US" w:eastAsia="zh-CN"/>
        </w:rPr>
      </w:pPr>
      <w:r>
        <w:rPr>
          <w:rFonts w:hint="eastAsia" w:ascii="黑体" w:hAnsi="黑体" w:eastAsia="黑体" w:cs="黑体"/>
          <w:b w:val="0"/>
          <w:bCs w:val="0"/>
          <w:spacing w:val="8"/>
          <w:sz w:val="32"/>
          <w:szCs w:val="32"/>
          <w:lang w:val="en-US" w:eastAsia="zh-CN"/>
        </w:rPr>
        <w:t>二、预决算公开的原则</w:t>
      </w:r>
    </w:p>
    <w:p>
      <w:pPr>
        <w:spacing w:line="560" w:lineRule="exact"/>
        <w:ind w:firstLine="672" w:firstLineChars="200"/>
        <w:rPr>
          <w:rFonts w:hint="eastAsia" w:ascii="仿宋_GB2312" w:eastAsia="仿宋_GB2312"/>
          <w:spacing w:val="8"/>
          <w:sz w:val="32"/>
          <w:szCs w:val="32"/>
          <w:lang w:val="en-US" w:eastAsia="zh-CN"/>
        </w:rPr>
      </w:pPr>
      <w:r>
        <w:rPr>
          <w:rFonts w:hint="eastAsia" w:ascii="楷体" w:hAnsi="楷体" w:eastAsia="楷体" w:cs="楷体"/>
          <w:spacing w:val="8"/>
          <w:sz w:val="32"/>
          <w:szCs w:val="32"/>
          <w:lang w:val="en-US" w:eastAsia="zh-CN"/>
        </w:rPr>
        <w:t>（一）积极公开。</w:t>
      </w:r>
      <w:r>
        <w:rPr>
          <w:rFonts w:hint="eastAsia" w:ascii="仿宋_GB2312" w:eastAsia="仿宋_GB2312"/>
          <w:spacing w:val="8"/>
          <w:sz w:val="32"/>
          <w:szCs w:val="32"/>
          <w:lang w:val="en-US" w:eastAsia="zh-CN"/>
        </w:rPr>
        <w:t>以公开为常态、不公开为例外，除涉及国家秘密的信息外，不得少公开、不公开应当公开的事项，保证公开内容全面、真实、完整；</w:t>
      </w:r>
    </w:p>
    <w:p>
      <w:pPr>
        <w:spacing w:line="560" w:lineRule="exact"/>
        <w:ind w:firstLine="672" w:firstLineChars="200"/>
        <w:rPr>
          <w:rFonts w:hint="eastAsia" w:ascii="仿宋_GB2312" w:eastAsia="仿宋_GB2312"/>
          <w:spacing w:val="8"/>
          <w:sz w:val="32"/>
          <w:szCs w:val="32"/>
          <w:lang w:val="en-US" w:eastAsia="zh-CN"/>
        </w:rPr>
      </w:pPr>
      <w:r>
        <w:rPr>
          <w:rFonts w:hint="eastAsia" w:ascii="楷体" w:hAnsi="楷体" w:eastAsia="楷体" w:cs="楷体"/>
          <w:spacing w:val="8"/>
          <w:sz w:val="32"/>
          <w:szCs w:val="32"/>
          <w:lang w:val="en-US" w:eastAsia="zh-CN"/>
        </w:rPr>
        <w:t>（二）强化责任。</w:t>
      </w:r>
      <w:r>
        <w:rPr>
          <w:rFonts w:hint="eastAsia" w:ascii="仿宋_GB2312" w:eastAsia="仿宋_GB2312"/>
          <w:spacing w:val="8"/>
          <w:sz w:val="32"/>
          <w:szCs w:val="32"/>
          <w:lang w:val="en-US" w:eastAsia="zh-CN"/>
        </w:rPr>
        <w:t>坚持谁主管、谁公开、谁负责，依法主动公开预决算信息。</w:t>
      </w:r>
    </w:p>
    <w:p>
      <w:pPr>
        <w:spacing w:line="560" w:lineRule="exact"/>
        <w:ind w:firstLine="672" w:firstLineChars="200"/>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三、预决算公开职责</w:t>
      </w:r>
    </w:p>
    <w:p>
      <w:p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部门预决算由校财务室负责公开。除涉密信息外，财务室应主动、及时向社会公开经县财政局批复的预算、决算及报表等预决算信息。</w:t>
      </w:r>
    </w:p>
    <w:p>
      <w:pPr>
        <w:spacing w:line="560" w:lineRule="exact"/>
        <w:ind w:firstLine="672" w:firstLineChars="200"/>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四、预决算公开时间</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部门预决算应当在县财政局批复后20日内向社会公开。财务室必须在规定的时限内公开，公开时间可</w:t>
      </w:r>
      <w:bookmarkStart w:id="0" w:name="_GoBack"/>
      <w:bookmarkEnd w:id="0"/>
      <w:r>
        <w:rPr>
          <w:rFonts w:hint="eastAsia" w:ascii="仿宋_GB2312" w:eastAsia="仿宋_GB2312"/>
          <w:spacing w:val="8"/>
          <w:sz w:val="32"/>
          <w:szCs w:val="32"/>
          <w:lang w:val="en-US" w:eastAsia="zh-CN"/>
        </w:rPr>
        <w:t>适当提前，原则上在同一天集中公开。</w:t>
      </w:r>
    </w:p>
    <w:p>
      <w:pPr>
        <w:spacing w:line="560" w:lineRule="exact"/>
        <w:ind w:firstLine="672" w:firstLineChars="200"/>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五、部门预决算公开内容</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部门预决算公开内容为县财政局批复的部门预决算及报表，包括部门收支总体情况和财政拔款收支情况，公开表如下：</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（一）部门收支预算总表；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（二）部门收入预算总表；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（三）部门支出预算总表；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（四）财政拨款收支预算总表；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（五）一般公共预算拨款支出预算表；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（六）政府性基金拨款支出预算表；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（七）一般公共预算支出经济分类情况表；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（八）一般公共预算基本支出经济分类情况表；</w:t>
      </w:r>
    </w:p>
    <w:p>
      <w:pPr>
        <w:numPr>
          <w:ilvl w:val="0"/>
          <w:numId w:val="0"/>
        </w:num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（九）一般公共预算“三公”经费支出预算表；</w:t>
      </w:r>
    </w:p>
    <w:p>
      <w:pPr>
        <w:numPr>
          <w:ilvl w:val="0"/>
          <w:numId w:val="0"/>
        </w:num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（十）部门业务费绩效目标表；</w:t>
      </w:r>
    </w:p>
    <w:p>
      <w:pPr>
        <w:numPr>
          <w:ilvl w:val="0"/>
          <w:numId w:val="0"/>
        </w:num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（十一）专项资金绩效目标表。</w:t>
      </w:r>
    </w:p>
    <w:p>
      <w:pPr>
        <w:numPr>
          <w:ilvl w:val="0"/>
          <w:numId w:val="0"/>
        </w:numPr>
        <w:spacing w:line="560" w:lineRule="exact"/>
        <w:ind w:firstLine="684"/>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对属于公开范围的部门预决算报表，没有数据的表格应当列出空表并说明。</w:t>
      </w:r>
    </w:p>
    <w:p>
      <w:pPr>
        <w:numPr>
          <w:ilvl w:val="0"/>
          <w:numId w:val="0"/>
        </w:num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numPr>
          <w:ilvl w:val="0"/>
          <w:numId w:val="0"/>
        </w:numPr>
        <w:spacing w:line="560" w:lineRule="exact"/>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 xml:space="preserve">    公开预决算表的同时，应当一并公开部门预算说明、部门的职责、机构设置、预决算收支增减变化、机关运行经费安排、政府采购、国有资产占有使用、预算绩效等情况的说明，并对专业性较强的名词进行解释。</w:t>
      </w:r>
    </w:p>
    <w:p>
      <w:pPr>
        <w:numPr>
          <w:ilvl w:val="0"/>
          <w:numId w:val="0"/>
        </w:numPr>
        <w:spacing w:line="560" w:lineRule="exact"/>
        <w:ind w:firstLine="672" w:firstLineChars="200"/>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“预算绩效”情况应当结合工作进展推进预算绩效信息公开，逐步在部门预算中公开部门和单位重点项目预算的绩效目标，在部门决算中公开主要民生项目和重点支出项目的绩效评价结果。</w:t>
      </w:r>
    </w:p>
    <w:p>
      <w:pPr>
        <w:spacing w:line="560" w:lineRule="exact"/>
        <w:ind w:firstLine="672" w:firstLineChars="200"/>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六、预决算公开方式</w:t>
      </w:r>
    </w:p>
    <w:p>
      <w:pPr>
        <w:numPr>
          <w:ilvl w:val="0"/>
          <w:numId w:val="0"/>
        </w:numPr>
        <w:spacing w:line="560" w:lineRule="exact"/>
        <w:ind w:firstLine="640" w:firstLineChars="200"/>
        <w:rPr>
          <w:rFonts w:hint="eastAsia" w:ascii="仿宋_GB2312" w:eastAsia="仿宋_GB2312"/>
          <w:spacing w:val="8"/>
          <w:sz w:val="32"/>
          <w:szCs w:val="32"/>
          <w:lang w:val="en-US" w:eastAsia="zh-CN"/>
        </w:rPr>
      </w:pPr>
      <w:r>
        <w:rPr>
          <w:rFonts w:hint="eastAsia" w:ascii="仿宋_GB2312" w:hAnsi="仿宋_GB2312" w:eastAsia="仿宋_GB2312"/>
          <w:sz w:val="32"/>
          <w:szCs w:val="30"/>
        </w:rPr>
        <w:t>在</w:t>
      </w:r>
      <w:r>
        <w:rPr>
          <w:rFonts w:hint="eastAsia" w:ascii="仿宋_GB2312" w:hAnsi="仿宋_GB2312" w:eastAsia="仿宋_GB2312"/>
          <w:sz w:val="32"/>
          <w:szCs w:val="30"/>
          <w:lang w:eastAsia="zh-CN"/>
        </w:rPr>
        <w:t>县</w:t>
      </w:r>
      <w:r>
        <w:rPr>
          <w:rFonts w:hint="eastAsia" w:ascii="仿宋_GB2312" w:hAnsi="仿宋_GB2312" w:eastAsia="仿宋_GB2312"/>
          <w:sz w:val="32"/>
          <w:szCs w:val="30"/>
        </w:rPr>
        <w:t>政府门户网站预决算公开专栏上公开</w:t>
      </w:r>
      <w:r>
        <w:rPr>
          <w:rFonts w:hint="eastAsia" w:ascii="仿宋_GB2312" w:hAnsi="仿宋_GB2312" w:eastAsia="仿宋_GB2312"/>
          <w:sz w:val="32"/>
          <w:szCs w:val="30"/>
          <w:lang w:eastAsia="zh-CN"/>
        </w:rPr>
        <w:t>。公开时</w:t>
      </w:r>
      <w:r>
        <w:rPr>
          <w:rFonts w:hint="eastAsia" w:ascii="仿宋_GB2312" w:eastAsia="仿宋_GB2312"/>
          <w:spacing w:val="8"/>
          <w:sz w:val="32"/>
          <w:szCs w:val="32"/>
          <w:lang w:val="en-US" w:eastAsia="zh-CN"/>
        </w:rPr>
        <w:t>应当编制目录，对公开内容进行分类、分级，方便公众查阅和监督。</w:t>
      </w:r>
    </w:p>
    <w:p>
      <w:pPr>
        <w:numPr>
          <w:ilvl w:val="0"/>
          <w:numId w:val="0"/>
        </w:numPr>
        <w:spacing w:line="560" w:lineRule="exact"/>
        <w:ind w:firstLine="684"/>
        <w:jc w:val="center"/>
        <w:rPr>
          <w:rFonts w:hint="eastAsia" w:ascii="仿宋_GB2312" w:eastAsia="仿宋_GB2312"/>
          <w:spacing w:val="8"/>
          <w:sz w:val="32"/>
          <w:szCs w:val="32"/>
          <w:lang w:val="en-US" w:eastAsia="zh-CN"/>
        </w:rPr>
      </w:pPr>
    </w:p>
    <w:p>
      <w:pPr>
        <w:numPr>
          <w:ilvl w:val="0"/>
          <w:numId w:val="0"/>
        </w:numPr>
        <w:spacing w:line="560" w:lineRule="exact"/>
        <w:ind w:firstLine="684"/>
        <w:jc w:val="center"/>
        <w:rPr>
          <w:rFonts w:hint="eastAsia" w:ascii="仿宋_GB2312" w:eastAsia="仿宋_GB2312"/>
          <w:spacing w:val="8"/>
          <w:sz w:val="32"/>
          <w:szCs w:val="32"/>
          <w:lang w:val="en-US" w:eastAsia="zh-CN"/>
        </w:rPr>
      </w:pPr>
    </w:p>
    <w:p>
      <w:pPr>
        <w:numPr>
          <w:ilvl w:val="0"/>
          <w:numId w:val="0"/>
        </w:numPr>
        <w:spacing w:line="560" w:lineRule="exact"/>
        <w:ind w:firstLine="684"/>
        <w:jc w:val="center"/>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 xml:space="preserve">             中共泰宁县委党校 泰宁县行政学校</w:t>
      </w:r>
    </w:p>
    <w:p>
      <w:pPr>
        <w:numPr>
          <w:ilvl w:val="0"/>
          <w:numId w:val="0"/>
        </w:numPr>
        <w:spacing w:line="560" w:lineRule="exact"/>
        <w:ind w:firstLine="684"/>
        <w:jc w:val="center"/>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 xml:space="preserve">           2018年1月25日</w:t>
      </w:r>
    </w:p>
    <w:p>
      <w:pPr>
        <w:spacing w:line="560" w:lineRule="exact"/>
        <w:rPr>
          <w:rFonts w:hint="eastAsia" w:ascii="仿宋_GB2312" w:eastAsia="仿宋_GB2312"/>
          <w:spacing w:val="8"/>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371"/>
    <w:multiLevelType w:val="singleLevel"/>
    <w:tmpl w:val="40595371"/>
    <w:lvl w:ilvl="0" w:tentative="0">
      <w:start w:val="1"/>
      <w:numFmt w:val="chineseCounting"/>
      <w:suff w:val="nothing"/>
      <w:lvlText w:val="%1、"/>
      <w:lvlJc w:val="left"/>
      <w:pPr>
        <w:ind w:left="68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21DB"/>
    <w:rsid w:val="22652605"/>
    <w:rsid w:val="47C27DED"/>
    <w:rsid w:val="632321DB"/>
    <w:rsid w:val="654C30AE"/>
    <w:rsid w:val="76C065D9"/>
    <w:rsid w:val="7BCD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2019-01-23T00:54:00Z</dcterms:created>
  <dc:creator>xueyu</dc:creator>
  <cp:lastModifiedBy>xueyu</cp:lastModifiedBy>
  <cp:lastPrinted>2019-01-24T00:49:00Z</cp:lastPrinted>
  <dcterms:modified xsi:type="dcterms:W3CDTF">2019-01-25T02:15:27Z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