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泰宁县第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黑体" w:eastAsia="方正小标宋简体"/>
          <w:sz w:val="44"/>
          <w:szCs w:val="44"/>
        </w:rPr>
        <w:t>中学预决算公开管理办法</w:t>
      </w:r>
    </w:p>
    <w:p>
      <w:pPr>
        <w:spacing w:line="560" w:lineRule="exact"/>
        <w:rPr>
          <w:rFonts w:hint="eastAsia" w:ascii="仿宋_GB2312" w:eastAsia="仿宋_GB2312"/>
          <w:spacing w:val="8"/>
          <w:sz w:val="32"/>
          <w:szCs w:val="32"/>
        </w:rPr>
      </w:pP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为进一步推进预决算公开工作，根据《福建省财政厅关于印发福建省预决算公开操作规程的通知》闽财预</w:t>
      </w:r>
      <w:r>
        <w:rPr>
          <w:rFonts w:hint="eastAsia" w:ascii="仿宋_GB2312" w:eastAsia="仿宋_GB2312"/>
          <w:sz w:val="32"/>
          <w:szCs w:val="32"/>
        </w:rPr>
        <w:t>〔2017〕</w:t>
      </w:r>
      <w:r>
        <w:rPr>
          <w:rFonts w:hint="eastAsia" w:ascii="仿宋_GB2312" w:eastAsia="仿宋_GB2312"/>
          <w:spacing w:val="8"/>
          <w:sz w:val="32"/>
          <w:szCs w:val="32"/>
        </w:rPr>
        <w:t>38号的要求，结合本单位实际情况，泰宁县第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pacing w:val="8"/>
          <w:sz w:val="32"/>
          <w:szCs w:val="32"/>
        </w:rPr>
        <w:t>中学现制定以下预决算公开管理办法。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b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spacing w:val="8"/>
          <w:sz w:val="32"/>
          <w:szCs w:val="32"/>
        </w:rPr>
        <w:t>总体要求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为贯彻落实中央和省推进预算公开工作精神，进一步推进预决算公开工作，建立健全全面规范、公开透明的预算制度，根据《中华人民共和国预算法》《中华人民共和国政府信息公开条例》《中共福建省委办公厅省人民政府办公厅印发关于进一步</w:t>
      </w:r>
    </w:p>
    <w:p>
      <w:pPr>
        <w:spacing w:line="560" w:lineRule="exact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推进预算公开工作的实施意见的通知》（闽委办发（2016）22号）等有关规定，我单位高度重视，充分认识部门预决算公开工作的必要性和重要性，认真做好部门预决算公开工作。</w:t>
      </w:r>
    </w:p>
    <w:p>
      <w:pPr>
        <w:spacing w:line="560" w:lineRule="exact"/>
        <w:ind w:firstLine="675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spacing w:val="8"/>
          <w:sz w:val="32"/>
          <w:szCs w:val="32"/>
        </w:rPr>
        <w:t>二、预决算公开的原则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（一）积极公开。以公开为常态、不公开为例外，除涉及国家秘密的信息外，不得少公开、不公开应当公开的事项。保证公开内容全面、真实、完整；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（二）坚持明确和落实责任，切实履行职责，依法主动公开预决算信息；</w:t>
      </w:r>
    </w:p>
    <w:p>
      <w:pPr>
        <w:pStyle w:val="2"/>
        <w:shd w:val="clear" w:color="auto" w:fill="FFFFFF"/>
        <w:spacing w:line="432" w:lineRule="auto"/>
        <w:ind w:firstLine="67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（三）</w:t>
      </w:r>
      <w:r>
        <w:rPr>
          <w:rFonts w:hint="eastAsia"/>
        </w:rPr>
        <w:t> </w:t>
      </w:r>
      <w:r>
        <w:rPr>
          <w:rFonts w:hint="eastAsia" w:ascii="仿宋" w:hAnsi="仿宋" w:eastAsia="仿宋"/>
          <w:sz w:val="32"/>
          <w:szCs w:val="32"/>
        </w:rPr>
        <w:t>预决算要公开及时，内容准确，形式规范。</w:t>
      </w:r>
    </w:p>
    <w:p>
      <w:pPr>
        <w:pStyle w:val="2"/>
        <w:shd w:val="clear" w:color="auto" w:fill="FFFFFF"/>
        <w:spacing w:line="432" w:lineRule="auto"/>
        <w:ind w:firstLine="470"/>
        <w:rPr>
          <w:rFonts w:ascii="仿宋_GB2312" w:eastAsia="仿宋_GB2312"/>
          <w:b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spacing w:val="8"/>
          <w:sz w:val="32"/>
          <w:szCs w:val="32"/>
        </w:rPr>
        <w:t>三、预决算公开职责</w:t>
      </w:r>
    </w:p>
    <w:p>
      <w:pPr>
        <w:pStyle w:val="2"/>
        <w:shd w:val="clear" w:color="auto" w:fill="FFFFFF"/>
        <w:spacing w:line="432" w:lineRule="auto"/>
        <w:ind w:firstLine="470"/>
      </w:pPr>
      <w:r>
        <w:rPr>
          <w:rFonts w:hint="eastAsia" w:ascii="仿宋_GB2312" w:eastAsia="仿宋_GB2312"/>
          <w:spacing w:val="8"/>
          <w:sz w:val="32"/>
          <w:szCs w:val="32"/>
        </w:rPr>
        <w:t>泰宁县</w:t>
      </w:r>
      <w:bookmarkStart w:id="0" w:name="_Hlk535846906"/>
      <w:r>
        <w:rPr>
          <w:rFonts w:hint="eastAsia" w:ascii="仿宋_GB2312" w:eastAsia="仿宋_GB2312"/>
          <w:spacing w:val="8"/>
          <w:sz w:val="32"/>
          <w:szCs w:val="32"/>
        </w:rPr>
        <w:t>第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pacing w:val="8"/>
          <w:sz w:val="32"/>
          <w:szCs w:val="32"/>
        </w:rPr>
        <w:t>中学</w:t>
      </w:r>
      <w:bookmarkEnd w:id="0"/>
      <w:r>
        <w:rPr>
          <w:rFonts w:hint="eastAsia" w:ascii="仿宋_GB2312" w:eastAsia="仿宋_GB2312"/>
          <w:spacing w:val="8"/>
          <w:sz w:val="32"/>
          <w:szCs w:val="32"/>
        </w:rPr>
        <w:t>预决算公开工作由泰宁县第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pacing w:val="8"/>
          <w:sz w:val="32"/>
          <w:szCs w:val="32"/>
        </w:rPr>
        <w:t>中学负责开展。除涉密信息外，应主动、及时向社会公开经本级政府财政批复的本部门预算、决算及报表等预决算信息，并按规定将本单位预决算公开情况报送本级财政部门。</w:t>
      </w:r>
    </w:p>
    <w:p>
      <w:pPr>
        <w:spacing w:line="560" w:lineRule="exact"/>
        <w:ind w:firstLine="675" w:firstLineChars="200"/>
        <w:rPr>
          <w:rFonts w:hint="eastAsia" w:ascii="仿宋_GB2312" w:eastAsia="仿宋_GB2312"/>
          <w:b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spacing w:val="8"/>
          <w:sz w:val="32"/>
          <w:szCs w:val="32"/>
        </w:rPr>
        <w:t>四、预决算公开时间</w:t>
      </w:r>
    </w:p>
    <w:p>
      <w:pPr>
        <w:spacing w:line="560" w:lineRule="exact"/>
        <w:ind w:firstLine="684"/>
        <w:rPr>
          <w:rFonts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泰宁县第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pacing w:val="8"/>
          <w:sz w:val="32"/>
          <w:szCs w:val="32"/>
        </w:rPr>
        <w:t>中学预决算应当在本级财政部门批复后20日内向社会主动公开。</w:t>
      </w:r>
    </w:p>
    <w:p>
      <w:pPr>
        <w:spacing w:line="560" w:lineRule="exact"/>
        <w:ind w:firstLine="684"/>
        <w:rPr>
          <w:rFonts w:hint="eastAsia" w:ascii="仿宋_GB2312" w:eastAsia="仿宋_GB2312"/>
          <w:b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spacing w:val="8"/>
          <w:sz w:val="32"/>
          <w:szCs w:val="32"/>
        </w:rPr>
        <w:t>五、部门预决算公开内容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部门预决算公开内容为本级财政部门批复的部门预决算及报表，包括部门收支总体情况和财政拔款收支情况，公开表如下：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（一）部门收支预算总表；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（二）部门收入预算总表；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（三）部门支出预算总表；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（四）财政拨款收支预算总表；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（五）一般公共预算拨款支出预算表；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（六）政府性基金拨款支出预算表；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（七）一般公共预算支出经济分类情况表；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（八）一般公共预算基本支出经济分类情况表；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（九）一般公共预算“三公”经费支出预算表；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（十）部门业务费绩效目标表；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（十一）专项资金绩效目标表。</w:t>
      </w:r>
    </w:p>
    <w:p>
      <w:pPr>
        <w:spacing w:line="560" w:lineRule="exact"/>
        <w:ind w:firstLine="684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对属于公开范围的部门预决算报表，没有数据的表格应当列出空表并说明。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一般公共预算拨款支出预算表公开到功能分类项级科目。一般公共预算支出经济分类情况表公开到经济性质分类类级科目，其中：基本支出公开到经济性质分类款级科目。一般公共预算“三公”经费支出表按“因公出国（境）费”、“公务用车购置及运行费”、“公务接待费”公开，其中，“公务用车购置及运行费”应当细化到“公务用车购置费”、“公务用车运行费”两个项目。公开的“三公”经费预决算应当说明因公出国（境）费、公务用车购置及运行费、公务接待费增减变化情况及原因；公开的“三公”经费决算应当说明因公出国（境）团组数及人数，公务用车购置数及保有量，国内公务接待的批次、人数等情况。</w:t>
      </w:r>
    </w:p>
    <w:p>
      <w:pPr>
        <w:spacing w:line="560" w:lineRule="exact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 xml:space="preserve">    各部门公开预决算表的同时，应当一并公开部门预算说明、部门的职责、机构设置、预决算收支增减变化、机关运行经费安排、政府采购、国有资产占有使用、预算绩效等情况的说明，并对专业性较强的名词进行解释。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“预算绩效”情况各部门单位应当结合工作进展推进预算绩效信息公开，逐步在部门预算中公开部门和单位重点项目预算的绩效目标，在部门决算中公开主要民生项目和重点支出项目的绩效评价结果。</w:t>
      </w:r>
    </w:p>
    <w:p>
      <w:pPr>
        <w:spacing w:line="560" w:lineRule="exact"/>
        <w:ind w:firstLine="675" w:firstLineChars="200"/>
        <w:rPr>
          <w:rFonts w:hint="eastAsia" w:ascii="仿宋_GB2312" w:eastAsia="仿宋_GB2312"/>
          <w:b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spacing w:val="8"/>
          <w:sz w:val="32"/>
          <w:szCs w:val="32"/>
        </w:rPr>
        <w:t>六、预决算公开方式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0"/>
        </w:rPr>
        <w:t>泰宁县第</w:t>
      </w:r>
      <w:r>
        <w:rPr>
          <w:rFonts w:hint="eastAsia" w:ascii="仿宋_GB2312" w:hAnsi="仿宋_GB2312" w:eastAsia="仿宋_GB2312"/>
          <w:sz w:val="32"/>
          <w:szCs w:val="30"/>
          <w:lang w:eastAsia="zh-CN"/>
        </w:rPr>
        <w:t>四</w:t>
      </w:r>
      <w:r>
        <w:rPr>
          <w:rFonts w:hint="eastAsia" w:ascii="仿宋_GB2312" w:hAnsi="仿宋_GB2312" w:eastAsia="仿宋_GB2312"/>
          <w:sz w:val="32"/>
          <w:szCs w:val="30"/>
        </w:rPr>
        <w:t>中学预决算应在本级政府门户网站预决算公开专栏上集中公开</w:t>
      </w:r>
      <w:r>
        <w:rPr>
          <w:rFonts w:hint="eastAsia" w:ascii="仿宋_GB2312" w:eastAsia="仿宋_GB2312"/>
          <w:spacing w:val="8"/>
          <w:sz w:val="32"/>
          <w:szCs w:val="32"/>
        </w:rPr>
        <w:t>。</w:t>
      </w:r>
    </w:p>
    <w:p>
      <w:pPr>
        <w:spacing w:line="560" w:lineRule="exact"/>
        <w:ind w:firstLine="675" w:firstLineChars="200"/>
        <w:rPr>
          <w:rFonts w:hint="eastAsia" w:ascii="仿宋_GB2312" w:eastAsia="仿宋_GB2312"/>
          <w:b/>
          <w:bCs/>
          <w:spacing w:val="8"/>
          <w:sz w:val="32"/>
          <w:szCs w:val="32"/>
        </w:rPr>
      </w:pP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 xml:space="preserve"> </w:t>
      </w:r>
    </w:p>
    <w:p>
      <w:pPr>
        <w:spacing w:line="560" w:lineRule="exact"/>
        <w:ind w:firstLine="672" w:firstLineChars="200"/>
        <w:rPr>
          <w:rFonts w:hint="eastAsia" w:ascii="仿宋_GB2312" w:eastAsia="仿宋_GB2312"/>
          <w:spacing w:val="8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pacing w:val="8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pacing w:val="8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pacing w:val="8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pacing w:val="8"/>
          <w:sz w:val="32"/>
          <w:szCs w:val="32"/>
        </w:rPr>
      </w:pPr>
    </w:p>
    <w:p>
      <w:pPr>
        <w:spacing w:line="560" w:lineRule="exact"/>
        <w:ind w:firstLine="684"/>
        <w:jc w:val="center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 xml:space="preserve">                             </w:t>
      </w:r>
      <w:bookmarkStart w:id="1" w:name="_GoBack"/>
      <w:bookmarkEnd w:id="1"/>
      <w:r>
        <w:rPr>
          <w:rFonts w:hint="eastAsia" w:ascii="仿宋_GB2312" w:eastAsia="仿宋_GB2312"/>
          <w:spacing w:val="8"/>
          <w:sz w:val="32"/>
          <w:szCs w:val="32"/>
        </w:rPr>
        <w:t>泰宁县第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pacing w:val="8"/>
          <w:sz w:val="32"/>
          <w:szCs w:val="32"/>
        </w:rPr>
        <w:t>中学</w:t>
      </w:r>
    </w:p>
    <w:p>
      <w:pPr>
        <w:spacing w:line="560" w:lineRule="exact"/>
        <w:ind w:firstLine="684"/>
        <w:jc w:val="right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2018年1月15日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371"/>
    <w:multiLevelType w:val="singleLevel"/>
    <w:tmpl w:val="40595371"/>
    <w:lvl w:ilvl="0" w:tentative="0">
      <w:start w:val="1"/>
      <w:numFmt w:val="chineseCounting"/>
      <w:suff w:val="nothing"/>
      <w:lvlText w:val="%1、"/>
      <w:lvlJc w:val="left"/>
      <w:pPr>
        <w:ind w:left="68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914F2"/>
    <w:rsid w:val="071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2019-01-29T08:30:00Z</dcterms:created>
  <dc:creator>李小龙</dc:creator>
  <cp:lastModifiedBy>李小龙</cp:lastModifiedBy>
  <dcterms:modified xsi:type="dcterms:W3CDTF">2019-01-29T08:33:46Z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