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福建省泰宁金湖旅游经济开发区管理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委员会</w:t>
      </w:r>
      <w:r>
        <w:rPr>
          <w:rFonts w:ascii="方正小标宋简体" w:hAnsi="方正小标宋简体" w:eastAsia="方正小标宋简体" w:cs="方正小标宋简体"/>
          <w:i w:val="0"/>
          <w:caps w:val="0"/>
          <w:color w:val="444444"/>
          <w:spacing w:val="0"/>
          <w:kern w:val="0"/>
          <w:sz w:val="44"/>
          <w:szCs w:val="44"/>
          <w:shd w:val="clear" w:fill="FFFFFF"/>
          <w:lang w:val="en-US" w:eastAsia="zh-CN" w:bidi="ar"/>
        </w:rPr>
        <w:t>预决算公开管理办法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shd w:val="clear" w:fill="FFFFFF"/>
          <w:lang w:val="en-US" w:eastAsia="zh-CN" w:bidi="ar"/>
        </w:rPr>
        <w:t>    </w:t>
      </w:r>
      <w:r>
        <w:rPr>
          <w:rFonts w:hint="eastAsia" w:ascii="黑体" w:hAnsi="宋体" w:eastAsia="黑体" w:cs="黑体"/>
          <w:i w:val="0"/>
          <w:caps w:val="0"/>
          <w:color w:val="444444"/>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shd w:val="clear" w:fill="FFFFFF"/>
          <w:lang w:val="en-US" w:eastAsia="zh-CN" w:bidi="ar"/>
        </w:rPr>
        <w:t>（一）积极公开。</w:t>
      </w:r>
      <w:r>
        <w:rPr>
          <w:rFonts w:hint="eastAsia" w:ascii="仿宋" w:hAnsi="仿宋" w:eastAsia="仿宋" w:cs="仿宋"/>
          <w:i w:val="0"/>
          <w:caps w:val="0"/>
          <w:color w:val="444444"/>
          <w:spacing w:val="0"/>
          <w:kern w:val="0"/>
          <w:sz w:val="32"/>
          <w:szCs w:val="32"/>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（二）强化责任。</w:t>
      </w:r>
      <w:r>
        <w:rPr>
          <w:rFonts w:hint="eastAsia" w:ascii="仿宋" w:hAnsi="仿宋" w:eastAsia="仿宋" w:cs="仿宋"/>
          <w:i w:val="0"/>
          <w:caps w:val="0"/>
          <w:color w:val="444444"/>
          <w:spacing w:val="0"/>
          <w:kern w:val="0"/>
          <w:sz w:val="32"/>
          <w:szCs w:val="32"/>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（三）促进改革。</w:t>
      </w:r>
      <w:r>
        <w:rPr>
          <w:rFonts w:hint="eastAsia" w:ascii="仿宋" w:hAnsi="仿宋" w:eastAsia="仿宋" w:cs="仿宋"/>
          <w:i w:val="0"/>
          <w:caps w:val="0"/>
          <w:color w:val="444444"/>
          <w:spacing w:val="0"/>
          <w:kern w:val="0"/>
          <w:sz w:val="32"/>
          <w:szCs w:val="32"/>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（四）同步推进。</w:t>
      </w:r>
      <w:r>
        <w:rPr>
          <w:rFonts w:hint="eastAsia" w:ascii="仿宋" w:hAnsi="仿宋" w:eastAsia="仿宋" w:cs="仿宋"/>
          <w:i w:val="0"/>
          <w:caps w:val="0"/>
          <w:color w:val="444444"/>
          <w:spacing w:val="0"/>
          <w:kern w:val="0"/>
          <w:sz w:val="32"/>
          <w:szCs w:val="32"/>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部门预决算由本部门负责公开。除涉密信息外，应主动、及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shd w:val="clear" w:fill="FFFFFF"/>
          <w:lang w:val="en-US" w:eastAsia="zh-CN" w:bidi="ar"/>
        </w:rPr>
        <w:t>向社会</w:t>
      </w:r>
      <w:r>
        <w:rPr>
          <w:rFonts w:hint="eastAsia" w:ascii="仿宋" w:hAnsi="仿宋" w:eastAsia="仿宋" w:cs="仿宋"/>
          <w:i w:val="0"/>
          <w:caps w:val="0"/>
          <w:color w:val="444444"/>
          <w:spacing w:val="0"/>
          <w:kern w:val="0"/>
          <w:sz w:val="32"/>
          <w:szCs w:val="32"/>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根据县级财政部门制作的公开模板、预决算公开格式、预决算公开口径进行规范、统一的预决算公开。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3416"/>
    <w:rsid w:val="10601EB3"/>
    <w:rsid w:val="248A1F22"/>
    <w:rsid w:val="2B874A68"/>
    <w:rsid w:val="38A7610A"/>
    <w:rsid w:val="4099138D"/>
    <w:rsid w:val="4807419D"/>
    <w:rsid w:val="4D0F3EE4"/>
    <w:rsid w:val="5653274E"/>
    <w:rsid w:val="6FF91D9A"/>
    <w:rsid w:val="71832B61"/>
    <w:rsid w:val="7367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2024-03-04T06:33:36Z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