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0"/>
        <w:jc w:val="center"/>
        <w:rPr>
          <w:rFonts w:hint="eastAsia" w:ascii="方正小标宋简体" w:hAnsi="方正小标宋简体" w:eastAsia="方正小标宋简体" w:cs="方正小标宋简体"/>
          <w:i w:val="0"/>
          <w:caps w:val="0"/>
          <w:color w:val="444444"/>
          <w:spacing w:val="0"/>
          <w:kern w:val="0"/>
          <w:sz w:val="44"/>
          <w:szCs w:val="44"/>
          <w:shd w:val="clear" w:fill="FFFFFF"/>
          <w:lang w:val="en-US" w:eastAsia="zh-CN" w:bidi="ar"/>
        </w:rPr>
      </w:pPr>
      <w:r>
        <w:rPr>
          <w:rFonts w:hint="eastAsia" w:ascii="方正小标宋简体" w:hAnsi="方正小标宋简体" w:eastAsia="方正小标宋简体" w:cs="方正小标宋简体"/>
          <w:i w:val="0"/>
          <w:caps w:val="0"/>
          <w:color w:val="444444"/>
          <w:spacing w:val="0"/>
          <w:kern w:val="0"/>
          <w:sz w:val="44"/>
          <w:szCs w:val="44"/>
          <w:shd w:val="clear" w:fill="FFFFFF"/>
          <w:lang w:val="en-US" w:eastAsia="zh-CN" w:bidi="ar"/>
        </w:rPr>
        <w:t>福建省泰宁金湖旅游经济开发区管理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0"/>
        <w:jc w:val="center"/>
        <w:rPr>
          <w:rFonts w:hint="eastAsia" w:ascii="宋体" w:hAnsi="宋体" w:eastAsia="宋体" w:cs="宋体"/>
          <w:i w:val="0"/>
          <w:caps w:val="0"/>
          <w:color w:val="333333"/>
          <w:spacing w:val="0"/>
          <w:sz w:val="24"/>
          <w:szCs w:val="24"/>
        </w:rPr>
      </w:pPr>
      <w:bookmarkStart w:id="0" w:name="_GoBack"/>
      <w:bookmarkEnd w:id="0"/>
      <w:r>
        <w:rPr>
          <w:rFonts w:hint="eastAsia" w:ascii="方正小标宋简体" w:hAnsi="方正小标宋简体" w:eastAsia="方正小标宋简体" w:cs="方正小标宋简体"/>
          <w:i w:val="0"/>
          <w:caps w:val="0"/>
          <w:color w:val="444444"/>
          <w:spacing w:val="0"/>
          <w:kern w:val="0"/>
          <w:sz w:val="44"/>
          <w:szCs w:val="44"/>
          <w:shd w:val="clear" w:fill="FFFFFF"/>
          <w:lang w:val="en-US" w:eastAsia="zh-CN" w:bidi="ar"/>
        </w:rPr>
        <w:t>委员会</w:t>
      </w:r>
      <w:r>
        <w:rPr>
          <w:rFonts w:ascii="方正小标宋简体" w:hAnsi="方正小标宋简体" w:eastAsia="方正小标宋简体" w:cs="方正小标宋简体"/>
          <w:i w:val="0"/>
          <w:caps w:val="0"/>
          <w:color w:val="444444"/>
          <w:spacing w:val="0"/>
          <w:kern w:val="0"/>
          <w:sz w:val="44"/>
          <w:szCs w:val="44"/>
          <w:shd w:val="clear" w:fill="FFFFFF"/>
          <w:lang w:val="en-US" w:eastAsia="zh-CN" w:bidi="ar"/>
        </w:rPr>
        <w:t>预决算公开管理办法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0"/>
        <w:jc w:val="center"/>
        <w:rPr>
          <w:rFonts w:hint="eastAsia" w:ascii="宋体" w:hAnsi="宋体" w:eastAsia="宋体" w:cs="宋体"/>
          <w:i w:val="0"/>
          <w:caps w:val="0"/>
          <w:color w:val="333333"/>
          <w:spacing w:val="0"/>
          <w:sz w:val="24"/>
          <w:szCs w:val="24"/>
        </w:rPr>
      </w:pPr>
      <w:r>
        <w:rPr>
          <w:rFonts w:ascii="仿宋" w:hAnsi="仿宋" w:eastAsia="仿宋" w:cs="仿宋"/>
          <w:i w:val="0"/>
          <w:caps w:val="0"/>
          <w:color w:val="444444"/>
          <w:spacing w:val="0"/>
          <w:kern w:val="0"/>
          <w:sz w:val="30"/>
          <w:szCs w:val="3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0"/>
        <w:jc w:val="left"/>
        <w:rPr>
          <w:rFonts w:hint="eastAsia" w:ascii="宋体" w:hAnsi="宋体" w:eastAsia="宋体" w:cs="宋体"/>
          <w:i w:val="0"/>
          <w:caps w:val="0"/>
          <w:color w:val="333333"/>
          <w:spacing w:val="0"/>
          <w:sz w:val="24"/>
          <w:szCs w:val="24"/>
        </w:rPr>
      </w:pPr>
      <w:r>
        <w:rPr>
          <w:rFonts w:ascii="黑体" w:hAnsi="宋体" w:eastAsia="黑体" w:cs="黑体"/>
          <w:i w:val="0"/>
          <w:caps w:val="0"/>
          <w:color w:val="444444"/>
          <w:spacing w:val="0"/>
          <w:kern w:val="0"/>
          <w:sz w:val="30"/>
          <w:szCs w:val="30"/>
          <w:shd w:val="clear" w:fill="FFFFFF"/>
          <w:lang w:val="en-US" w:eastAsia="zh-CN" w:bidi="ar"/>
        </w:rPr>
        <w:t>    </w:t>
      </w:r>
      <w:r>
        <w:rPr>
          <w:rFonts w:hint="eastAsia" w:ascii="黑体" w:hAnsi="宋体" w:eastAsia="黑体" w:cs="黑体"/>
          <w:i w:val="0"/>
          <w:caps w:val="0"/>
          <w:color w:val="444444"/>
          <w:spacing w:val="0"/>
          <w:kern w:val="0"/>
          <w:sz w:val="32"/>
          <w:szCs w:val="32"/>
          <w:shd w:val="clear" w:fill="FFFFFF"/>
          <w:lang w:val="en-US" w:eastAsia="zh-CN" w:bidi="ar"/>
        </w:rPr>
        <w:t>一、总体要求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eastAsia" w:ascii="宋体" w:hAnsi="宋体" w:eastAsia="宋体" w:cs="宋体"/>
          <w:i w:val="0"/>
          <w:caps w:val="0"/>
          <w:color w:val="333333"/>
          <w:spacing w:val="0"/>
          <w:sz w:val="24"/>
          <w:szCs w:val="24"/>
        </w:rPr>
      </w:pPr>
      <w:r>
        <w:rPr>
          <w:rFonts w:hint="eastAsia" w:ascii="仿宋" w:hAnsi="仿宋" w:eastAsia="仿宋" w:cs="仿宋"/>
          <w:i w:val="0"/>
          <w:caps w:val="0"/>
          <w:color w:val="444444"/>
          <w:spacing w:val="0"/>
          <w:kern w:val="0"/>
          <w:sz w:val="32"/>
          <w:szCs w:val="32"/>
          <w:shd w:val="clear" w:fill="FFFFFF"/>
          <w:lang w:val="en-US" w:eastAsia="zh-CN" w:bidi="ar"/>
        </w:rPr>
        <w:t>为贯彻落实中央和省推进预算公开工作精神，进一步推进预决算公开工作，建立健全全面规范、公开透明的预算制度，根据《中华人民共和国预算法》、《中华人民共和国政府信息公开条例》、《中共福建省委办公厅省人民政府办公厅印发关于进一步推进预算公开工作的实施意见的通知》(闽委办发（2016）22号）等有关规定，制定本办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eastAsia" w:ascii="宋体" w:hAnsi="宋体" w:eastAsia="宋体" w:cs="宋体"/>
          <w:i w:val="0"/>
          <w:caps w:val="0"/>
          <w:color w:val="333333"/>
          <w:spacing w:val="0"/>
          <w:sz w:val="24"/>
          <w:szCs w:val="24"/>
        </w:rPr>
      </w:pPr>
      <w:r>
        <w:rPr>
          <w:rFonts w:hint="eastAsia" w:ascii="黑体" w:hAnsi="宋体" w:eastAsia="黑体" w:cs="黑体"/>
          <w:i w:val="0"/>
          <w:caps w:val="0"/>
          <w:color w:val="444444"/>
          <w:spacing w:val="0"/>
          <w:kern w:val="0"/>
          <w:sz w:val="32"/>
          <w:szCs w:val="32"/>
          <w:shd w:val="clear" w:fill="FFFFFF"/>
          <w:lang w:val="en-US" w:eastAsia="zh-CN" w:bidi="ar"/>
        </w:rPr>
        <w:t>二、预决算公开原则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482"/>
        <w:jc w:val="left"/>
        <w:rPr>
          <w:rFonts w:hint="eastAsia" w:ascii="宋体" w:hAnsi="宋体" w:eastAsia="宋体" w:cs="宋体"/>
          <w:i w:val="0"/>
          <w:caps w:val="0"/>
          <w:color w:val="333333"/>
          <w:spacing w:val="0"/>
          <w:sz w:val="24"/>
          <w:szCs w:val="24"/>
        </w:rPr>
      </w:pPr>
      <w:r>
        <w:rPr>
          <w:rFonts w:ascii="楷体" w:hAnsi="楷体" w:eastAsia="楷体" w:cs="楷体"/>
          <w:b/>
          <w:i w:val="0"/>
          <w:caps w:val="0"/>
          <w:color w:val="444444"/>
          <w:spacing w:val="0"/>
          <w:kern w:val="0"/>
          <w:sz w:val="32"/>
          <w:szCs w:val="32"/>
          <w:shd w:val="clear" w:fill="FFFFFF"/>
          <w:lang w:val="en-US" w:eastAsia="zh-CN" w:bidi="ar"/>
        </w:rPr>
        <w:t>（一）积极公开。</w:t>
      </w:r>
      <w:r>
        <w:rPr>
          <w:rFonts w:hint="eastAsia" w:ascii="仿宋" w:hAnsi="仿宋" w:eastAsia="仿宋" w:cs="仿宋"/>
          <w:i w:val="0"/>
          <w:caps w:val="0"/>
          <w:color w:val="444444"/>
          <w:spacing w:val="0"/>
          <w:kern w:val="0"/>
          <w:sz w:val="32"/>
          <w:szCs w:val="32"/>
          <w:shd w:val="clear" w:fill="FFFFFF"/>
          <w:lang w:val="en-US" w:eastAsia="zh-CN" w:bidi="ar"/>
        </w:rPr>
        <w:t>以公开为常态、不公开为例外，除涉及国家秘密的信息外，不得少公开、不公开应当公开的事项，保证公开内容全面、真实、完整。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482"/>
        <w:jc w:val="left"/>
        <w:rPr>
          <w:rFonts w:hint="eastAsia" w:ascii="宋体" w:hAnsi="宋体" w:eastAsia="宋体" w:cs="宋体"/>
          <w:i w:val="0"/>
          <w:caps w:val="0"/>
          <w:color w:val="333333"/>
          <w:spacing w:val="0"/>
          <w:sz w:val="24"/>
          <w:szCs w:val="24"/>
        </w:rPr>
      </w:pPr>
      <w:r>
        <w:rPr>
          <w:rFonts w:hint="eastAsia" w:ascii="楷体" w:hAnsi="楷体" w:eastAsia="楷体" w:cs="楷体"/>
          <w:b/>
          <w:i w:val="0"/>
          <w:caps w:val="0"/>
          <w:color w:val="444444"/>
          <w:spacing w:val="0"/>
          <w:kern w:val="0"/>
          <w:sz w:val="32"/>
          <w:szCs w:val="32"/>
          <w:shd w:val="clear" w:fill="FFFFFF"/>
          <w:lang w:val="en-US" w:eastAsia="zh-CN" w:bidi="ar"/>
        </w:rPr>
        <w:t>（二）强化责任。</w:t>
      </w:r>
      <w:r>
        <w:rPr>
          <w:rFonts w:hint="eastAsia" w:ascii="仿宋" w:hAnsi="仿宋" w:eastAsia="仿宋" w:cs="仿宋"/>
          <w:i w:val="0"/>
          <w:caps w:val="0"/>
          <w:color w:val="444444"/>
          <w:spacing w:val="0"/>
          <w:kern w:val="0"/>
          <w:sz w:val="32"/>
          <w:szCs w:val="32"/>
          <w:shd w:val="clear" w:fill="FFFFFF"/>
          <w:lang w:val="en-US" w:eastAsia="zh-CN" w:bidi="ar"/>
        </w:rPr>
        <w:t>坚持谁主管、谁公开、谁负责，本部门应当切实履行职责，依法主动公开预决算信息。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482"/>
        <w:jc w:val="left"/>
        <w:rPr>
          <w:rFonts w:hint="eastAsia" w:ascii="宋体" w:hAnsi="宋体" w:eastAsia="宋体" w:cs="宋体"/>
          <w:i w:val="0"/>
          <w:caps w:val="0"/>
          <w:color w:val="333333"/>
          <w:spacing w:val="0"/>
          <w:sz w:val="24"/>
          <w:szCs w:val="24"/>
        </w:rPr>
      </w:pPr>
      <w:r>
        <w:rPr>
          <w:rFonts w:hint="eastAsia" w:ascii="楷体" w:hAnsi="楷体" w:eastAsia="楷体" w:cs="楷体"/>
          <w:b/>
          <w:i w:val="0"/>
          <w:caps w:val="0"/>
          <w:color w:val="444444"/>
          <w:spacing w:val="0"/>
          <w:kern w:val="0"/>
          <w:sz w:val="32"/>
          <w:szCs w:val="32"/>
          <w:shd w:val="clear" w:fill="FFFFFF"/>
          <w:lang w:val="en-US" w:eastAsia="zh-CN" w:bidi="ar"/>
        </w:rPr>
        <w:t>（三）促进改革。</w:t>
      </w:r>
      <w:r>
        <w:rPr>
          <w:rFonts w:hint="eastAsia" w:ascii="仿宋" w:hAnsi="仿宋" w:eastAsia="仿宋" w:cs="仿宋"/>
          <w:i w:val="0"/>
          <w:caps w:val="0"/>
          <w:color w:val="444444"/>
          <w:spacing w:val="0"/>
          <w:kern w:val="0"/>
          <w:sz w:val="32"/>
          <w:szCs w:val="32"/>
          <w:shd w:val="clear" w:fill="FFFFFF"/>
          <w:lang w:val="en-US" w:eastAsia="zh-CN" w:bidi="ar"/>
        </w:rPr>
        <w:t>以公开为抓手，通过预决算公开促进财税体制改革和其他相关领域改革，促进财税政策落实，促进财政管理规范，促进政府效能提高。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482"/>
        <w:jc w:val="left"/>
        <w:rPr>
          <w:rFonts w:hint="eastAsia" w:ascii="宋体" w:hAnsi="宋体" w:eastAsia="宋体" w:cs="宋体"/>
          <w:i w:val="0"/>
          <w:caps w:val="0"/>
          <w:color w:val="333333"/>
          <w:spacing w:val="0"/>
          <w:sz w:val="24"/>
          <w:szCs w:val="24"/>
        </w:rPr>
      </w:pPr>
      <w:r>
        <w:rPr>
          <w:rFonts w:hint="eastAsia" w:ascii="楷体" w:hAnsi="楷体" w:eastAsia="楷体" w:cs="楷体"/>
          <w:b/>
          <w:i w:val="0"/>
          <w:caps w:val="0"/>
          <w:color w:val="444444"/>
          <w:spacing w:val="0"/>
          <w:kern w:val="0"/>
          <w:sz w:val="32"/>
          <w:szCs w:val="32"/>
          <w:shd w:val="clear" w:fill="FFFFFF"/>
          <w:lang w:val="en-US" w:eastAsia="zh-CN" w:bidi="ar"/>
        </w:rPr>
        <w:t>（四）同步推进。</w:t>
      </w:r>
      <w:r>
        <w:rPr>
          <w:rFonts w:hint="eastAsia" w:ascii="仿宋" w:hAnsi="仿宋" w:eastAsia="仿宋" w:cs="仿宋"/>
          <w:i w:val="0"/>
          <w:caps w:val="0"/>
          <w:color w:val="444444"/>
          <w:spacing w:val="0"/>
          <w:kern w:val="0"/>
          <w:sz w:val="32"/>
          <w:szCs w:val="32"/>
          <w:shd w:val="clear" w:fill="FFFFFF"/>
          <w:lang w:val="en-US" w:eastAsia="zh-CN" w:bidi="ar"/>
        </w:rPr>
        <w:t>保持上下联动、部门同步，规范部门预决算公开工作。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33"/>
        <w:jc w:val="left"/>
        <w:rPr>
          <w:rFonts w:hint="eastAsia" w:ascii="宋体" w:hAnsi="宋体" w:eastAsia="宋体" w:cs="宋体"/>
          <w:i w:val="0"/>
          <w:caps w:val="0"/>
          <w:color w:val="333333"/>
          <w:spacing w:val="0"/>
          <w:sz w:val="24"/>
          <w:szCs w:val="24"/>
        </w:rPr>
      </w:pPr>
      <w:r>
        <w:rPr>
          <w:rFonts w:hint="eastAsia" w:ascii="黑体" w:hAnsi="宋体" w:eastAsia="黑体" w:cs="黑体"/>
          <w:i w:val="0"/>
          <w:caps w:val="0"/>
          <w:color w:val="333333"/>
          <w:spacing w:val="0"/>
          <w:kern w:val="0"/>
          <w:sz w:val="32"/>
          <w:szCs w:val="32"/>
          <w:shd w:val="clear" w:fill="FFFFFF"/>
          <w:lang w:val="en-US" w:eastAsia="zh-CN" w:bidi="ar"/>
        </w:rPr>
        <w:t>三、预决算公开职责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33"/>
        <w:jc w:val="left"/>
        <w:rPr>
          <w:rFonts w:hint="eastAsia" w:ascii="宋体" w:hAnsi="宋体" w:eastAsia="宋体" w:cs="宋体"/>
          <w:i w:val="0"/>
          <w:caps w:val="0"/>
          <w:color w:val="333333"/>
          <w:spacing w:val="0"/>
          <w:sz w:val="24"/>
          <w:szCs w:val="24"/>
        </w:rPr>
      </w:pPr>
      <w:r>
        <w:rPr>
          <w:rFonts w:hint="eastAsia" w:ascii="仿宋" w:hAnsi="仿宋" w:eastAsia="仿宋" w:cs="仿宋"/>
          <w:i w:val="0"/>
          <w:caps w:val="0"/>
          <w:color w:val="444444"/>
          <w:spacing w:val="0"/>
          <w:kern w:val="0"/>
          <w:sz w:val="32"/>
          <w:szCs w:val="32"/>
          <w:shd w:val="clear" w:fill="FFFFFF"/>
          <w:lang w:val="en-US" w:eastAsia="zh-CN" w:bidi="ar"/>
        </w:rPr>
        <w:t>部门预决算由本部门负责公开。除涉密信息外，应主动、及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宋体" w:hAnsi="宋体" w:eastAsia="宋体" w:cs="宋体"/>
          <w:i w:val="0"/>
          <w:caps w:val="0"/>
          <w:color w:val="333333"/>
          <w:spacing w:val="0"/>
          <w:sz w:val="24"/>
          <w:szCs w:val="24"/>
        </w:rPr>
      </w:pPr>
      <w:r>
        <w:rPr>
          <w:rFonts w:hint="eastAsia" w:ascii="仿宋" w:hAnsi="仿宋" w:eastAsia="仿宋" w:cs="仿宋"/>
          <w:i w:val="0"/>
          <w:caps w:val="0"/>
          <w:color w:val="444444"/>
          <w:spacing w:val="0"/>
          <w:kern w:val="0"/>
          <w:sz w:val="32"/>
          <w:szCs w:val="32"/>
          <w:shd w:val="clear" w:fill="FFFFFF"/>
          <w:lang w:val="en-US" w:eastAsia="zh-CN" w:bidi="ar"/>
        </w:rPr>
        <w:t>时向社会公开经县级财政部门批复的本部门预算、决算及报表等预决算信息。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5"/>
        <w:jc w:val="left"/>
        <w:rPr>
          <w:rFonts w:hint="eastAsia" w:ascii="宋体" w:hAnsi="宋体" w:eastAsia="宋体" w:cs="宋体"/>
          <w:i w:val="0"/>
          <w:caps w:val="0"/>
          <w:color w:val="333333"/>
          <w:spacing w:val="0"/>
          <w:sz w:val="24"/>
          <w:szCs w:val="24"/>
        </w:rPr>
      </w:pPr>
      <w:r>
        <w:rPr>
          <w:rFonts w:hint="eastAsia" w:ascii="仿宋" w:hAnsi="仿宋" w:eastAsia="仿宋" w:cs="仿宋"/>
          <w:i w:val="0"/>
          <w:caps w:val="0"/>
          <w:color w:val="444444"/>
          <w:spacing w:val="0"/>
          <w:kern w:val="0"/>
          <w:sz w:val="32"/>
          <w:szCs w:val="32"/>
          <w:shd w:val="clear" w:fill="FFFFFF"/>
          <w:lang w:val="en-US" w:eastAsia="zh-CN" w:bidi="ar"/>
        </w:rPr>
        <w:t>本部门负责制定本部门预决算公开的规定，预决算公开情况须报送县级财政部门。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3"/>
        <w:jc w:val="left"/>
        <w:rPr>
          <w:rFonts w:hint="eastAsia" w:ascii="宋体" w:hAnsi="宋体" w:eastAsia="宋体" w:cs="宋体"/>
          <w:i w:val="0"/>
          <w:caps w:val="0"/>
          <w:color w:val="333333"/>
          <w:spacing w:val="0"/>
          <w:sz w:val="24"/>
          <w:szCs w:val="24"/>
        </w:rPr>
      </w:pPr>
      <w:r>
        <w:rPr>
          <w:rFonts w:hint="eastAsia" w:ascii="黑体" w:hAnsi="宋体" w:eastAsia="黑体" w:cs="黑体"/>
          <w:i w:val="0"/>
          <w:caps w:val="0"/>
          <w:color w:val="333333"/>
          <w:spacing w:val="0"/>
          <w:kern w:val="0"/>
          <w:sz w:val="32"/>
          <w:szCs w:val="32"/>
          <w:shd w:val="clear" w:fill="FFFFFF"/>
          <w:lang w:val="en-US" w:eastAsia="zh-CN" w:bidi="ar"/>
        </w:rPr>
        <w:t>四、预决算公开时间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宋体" w:hAnsi="宋体" w:eastAsia="宋体" w:cs="宋体"/>
          <w:i w:val="0"/>
          <w:caps w:val="0"/>
          <w:color w:val="333333"/>
          <w:spacing w:val="0"/>
          <w:sz w:val="24"/>
          <w:szCs w:val="24"/>
        </w:rPr>
      </w:pPr>
      <w:r>
        <w:rPr>
          <w:rFonts w:hint="eastAsia" w:ascii="仿宋" w:hAnsi="仿宋" w:eastAsia="仿宋" w:cs="仿宋"/>
          <w:i w:val="0"/>
          <w:caps w:val="0"/>
          <w:color w:val="444444"/>
          <w:spacing w:val="0"/>
          <w:kern w:val="0"/>
          <w:sz w:val="32"/>
          <w:szCs w:val="32"/>
          <w:shd w:val="clear" w:fill="FFFFFF"/>
          <w:lang w:val="en-US" w:eastAsia="zh-CN" w:bidi="ar"/>
        </w:rPr>
        <w:t>部门预决算应在县级财政部门批复后20日内向社会公开。本部门必须在法律规定的时限内公开，鼓励公开时间适当提前。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6"/>
        <w:jc w:val="left"/>
        <w:rPr>
          <w:rFonts w:hint="eastAsia" w:ascii="宋体" w:hAnsi="宋体" w:eastAsia="宋体" w:cs="宋体"/>
          <w:i w:val="0"/>
          <w:caps w:val="0"/>
          <w:color w:val="333333"/>
          <w:spacing w:val="0"/>
          <w:sz w:val="24"/>
          <w:szCs w:val="24"/>
        </w:rPr>
      </w:pPr>
      <w:r>
        <w:rPr>
          <w:rFonts w:hint="eastAsia" w:ascii="黑体" w:hAnsi="宋体" w:eastAsia="黑体" w:cs="黑体"/>
          <w:b/>
          <w:i w:val="0"/>
          <w:caps w:val="0"/>
          <w:color w:val="333333"/>
          <w:spacing w:val="0"/>
          <w:kern w:val="0"/>
          <w:sz w:val="32"/>
          <w:szCs w:val="32"/>
          <w:shd w:val="clear" w:fill="FFFFFF"/>
          <w:lang w:val="en-US" w:eastAsia="zh-CN" w:bidi="ar"/>
        </w:rPr>
        <w:t>五、部门预决算公开内容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5"/>
        <w:jc w:val="left"/>
        <w:rPr>
          <w:rFonts w:hint="eastAsia" w:ascii="宋体" w:hAnsi="宋体" w:eastAsia="宋体" w:cs="宋体"/>
          <w:i w:val="0"/>
          <w:caps w:val="0"/>
          <w:color w:val="333333"/>
          <w:spacing w:val="0"/>
          <w:sz w:val="24"/>
          <w:szCs w:val="24"/>
        </w:rPr>
      </w:pPr>
      <w:r>
        <w:rPr>
          <w:rFonts w:hint="eastAsia" w:ascii="仿宋" w:hAnsi="仿宋" w:eastAsia="仿宋" w:cs="仿宋"/>
          <w:i w:val="0"/>
          <w:caps w:val="0"/>
          <w:color w:val="444444"/>
          <w:spacing w:val="0"/>
          <w:kern w:val="0"/>
          <w:sz w:val="32"/>
          <w:szCs w:val="32"/>
          <w:shd w:val="clear" w:fill="FFFFFF"/>
          <w:lang w:val="en-US" w:eastAsia="zh-CN" w:bidi="ar"/>
        </w:rPr>
        <w:t>部门预决算公开内容为县级财政部门批复的部门预决算及报表，包括部门收支总体情况和财政拨款收支情况，公开表如下：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80"/>
        <w:jc w:val="left"/>
        <w:rPr>
          <w:rFonts w:hint="eastAsia" w:ascii="宋体" w:hAnsi="宋体" w:eastAsia="宋体" w:cs="宋体"/>
          <w:i w:val="0"/>
          <w:caps w:val="0"/>
          <w:color w:val="333333"/>
          <w:spacing w:val="0"/>
          <w:sz w:val="24"/>
          <w:szCs w:val="24"/>
        </w:rPr>
      </w:pPr>
      <w:r>
        <w:rPr>
          <w:rFonts w:hint="eastAsia" w:ascii="仿宋" w:hAnsi="仿宋" w:eastAsia="仿宋" w:cs="仿宋"/>
          <w:i w:val="0"/>
          <w:caps w:val="0"/>
          <w:color w:val="444444"/>
          <w:spacing w:val="0"/>
          <w:kern w:val="0"/>
          <w:sz w:val="32"/>
          <w:szCs w:val="32"/>
          <w:shd w:val="clear" w:fill="FFFFFF"/>
          <w:lang w:val="en-US" w:eastAsia="zh-CN" w:bidi="ar"/>
        </w:rPr>
        <w:t> （一）部门收支预算总表；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80"/>
        <w:jc w:val="left"/>
        <w:rPr>
          <w:rFonts w:hint="eastAsia" w:ascii="宋体" w:hAnsi="宋体" w:eastAsia="宋体" w:cs="宋体"/>
          <w:i w:val="0"/>
          <w:caps w:val="0"/>
          <w:color w:val="333333"/>
          <w:spacing w:val="0"/>
          <w:sz w:val="24"/>
          <w:szCs w:val="24"/>
        </w:rPr>
      </w:pPr>
      <w:r>
        <w:rPr>
          <w:rFonts w:hint="eastAsia" w:ascii="仿宋" w:hAnsi="仿宋" w:eastAsia="仿宋" w:cs="仿宋"/>
          <w:i w:val="0"/>
          <w:caps w:val="0"/>
          <w:color w:val="444444"/>
          <w:spacing w:val="0"/>
          <w:kern w:val="0"/>
          <w:sz w:val="32"/>
          <w:szCs w:val="32"/>
          <w:shd w:val="clear" w:fill="FFFFFF"/>
          <w:lang w:val="en-US" w:eastAsia="zh-CN" w:bidi="ar"/>
        </w:rPr>
        <w:t> （二）部门收入预算总表；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80"/>
        <w:jc w:val="left"/>
        <w:rPr>
          <w:rFonts w:hint="eastAsia" w:ascii="宋体" w:hAnsi="宋体" w:eastAsia="宋体" w:cs="宋体"/>
          <w:i w:val="0"/>
          <w:caps w:val="0"/>
          <w:color w:val="333333"/>
          <w:spacing w:val="0"/>
          <w:sz w:val="24"/>
          <w:szCs w:val="24"/>
        </w:rPr>
      </w:pPr>
      <w:r>
        <w:rPr>
          <w:rFonts w:hint="eastAsia" w:ascii="仿宋" w:hAnsi="仿宋" w:eastAsia="仿宋" w:cs="仿宋"/>
          <w:i w:val="0"/>
          <w:caps w:val="0"/>
          <w:color w:val="444444"/>
          <w:spacing w:val="0"/>
          <w:kern w:val="0"/>
          <w:sz w:val="32"/>
          <w:szCs w:val="32"/>
          <w:shd w:val="clear" w:fill="FFFFFF"/>
          <w:lang w:val="en-US" w:eastAsia="zh-CN" w:bidi="ar"/>
        </w:rPr>
        <w:t> （三）部门支出预算总表；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80"/>
        <w:jc w:val="left"/>
        <w:rPr>
          <w:rFonts w:hint="eastAsia" w:ascii="宋体" w:hAnsi="宋体" w:eastAsia="宋体" w:cs="宋体"/>
          <w:i w:val="0"/>
          <w:caps w:val="0"/>
          <w:color w:val="333333"/>
          <w:spacing w:val="0"/>
          <w:sz w:val="24"/>
          <w:szCs w:val="24"/>
        </w:rPr>
      </w:pPr>
      <w:r>
        <w:rPr>
          <w:rFonts w:hint="eastAsia" w:ascii="仿宋" w:hAnsi="仿宋" w:eastAsia="仿宋" w:cs="仿宋"/>
          <w:i w:val="0"/>
          <w:caps w:val="0"/>
          <w:color w:val="444444"/>
          <w:spacing w:val="0"/>
          <w:kern w:val="0"/>
          <w:sz w:val="32"/>
          <w:szCs w:val="32"/>
          <w:shd w:val="clear" w:fill="FFFFFF"/>
          <w:lang w:val="en-US" w:eastAsia="zh-CN" w:bidi="ar"/>
        </w:rPr>
        <w:t> （四）财政拨款收支预算总表；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80"/>
        <w:jc w:val="left"/>
        <w:rPr>
          <w:rFonts w:hint="eastAsia" w:ascii="宋体" w:hAnsi="宋体" w:eastAsia="宋体" w:cs="宋体"/>
          <w:i w:val="0"/>
          <w:caps w:val="0"/>
          <w:color w:val="333333"/>
          <w:spacing w:val="0"/>
          <w:sz w:val="24"/>
          <w:szCs w:val="24"/>
        </w:rPr>
      </w:pPr>
      <w:r>
        <w:rPr>
          <w:rFonts w:hint="eastAsia" w:ascii="仿宋" w:hAnsi="仿宋" w:eastAsia="仿宋" w:cs="仿宋"/>
          <w:i w:val="0"/>
          <w:caps w:val="0"/>
          <w:color w:val="444444"/>
          <w:spacing w:val="0"/>
          <w:kern w:val="0"/>
          <w:sz w:val="32"/>
          <w:szCs w:val="32"/>
          <w:shd w:val="clear" w:fill="FFFFFF"/>
          <w:lang w:val="en-US" w:eastAsia="zh-CN" w:bidi="ar"/>
        </w:rPr>
        <w:t> （五）一般公共预算拨款支出预算表；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80"/>
        <w:jc w:val="left"/>
        <w:rPr>
          <w:rFonts w:hint="eastAsia" w:ascii="宋体" w:hAnsi="宋体" w:eastAsia="宋体" w:cs="宋体"/>
          <w:i w:val="0"/>
          <w:caps w:val="0"/>
          <w:color w:val="333333"/>
          <w:spacing w:val="0"/>
          <w:sz w:val="24"/>
          <w:szCs w:val="24"/>
        </w:rPr>
      </w:pPr>
      <w:r>
        <w:rPr>
          <w:rFonts w:hint="eastAsia" w:ascii="仿宋" w:hAnsi="仿宋" w:eastAsia="仿宋" w:cs="仿宋"/>
          <w:i w:val="0"/>
          <w:caps w:val="0"/>
          <w:color w:val="444444"/>
          <w:spacing w:val="0"/>
          <w:kern w:val="0"/>
          <w:sz w:val="32"/>
          <w:szCs w:val="32"/>
          <w:shd w:val="clear" w:fill="FFFFFF"/>
          <w:lang w:val="en-US" w:eastAsia="zh-CN" w:bidi="ar"/>
        </w:rPr>
        <w:t> （六）政府性基金拨款支出预算表；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宋体" w:hAnsi="宋体" w:eastAsia="宋体" w:cs="宋体"/>
          <w:i w:val="0"/>
          <w:caps w:val="0"/>
          <w:color w:val="333333"/>
          <w:spacing w:val="0"/>
          <w:sz w:val="24"/>
          <w:szCs w:val="24"/>
        </w:rPr>
      </w:pPr>
      <w:r>
        <w:rPr>
          <w:rFonts w:hint="eastAsia" w:ascii="仿宋" w:hAnsi="仿宋" w:eastAsia="仿宋" w:cs="仿宋"/>
          <w:i w:val="0"/>
          <w:caps w:val="0"/>
          <w:color w:val="444444"/>
          <w:spacing w:val="0"/>
          <w:kern w:val="0"/>
          <w:sz w:val="32"/>
          <w:szCs w:val="32"/>
          <w:shd w:val="clear" w:fill="FFFFFF"/>
          <w:lang w:val="en-US" w:eastAsia="zh-CN" w:bidi="ar"/>
        </w:rPr>
        <w:t>    （七）一般公共预算支出经济分类情况表；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宋体" w:hAnsi="宋体" w:eastAsia="宋体" w:cs="宋体"/>
          <w:i w:val="0"/>
          <w:caps w:val="0"/>
          <w:color w:val="333333"/>
          <w:spacing w:val="0"/>
          <w:sz w:val="24"/>
          <w:szCs w:val="24"/>
        </w:rPr>
      </w:pPr>
      <w:r>
        <w:rPr>
          <w:rFonts w:hint="eastAsia" w:ascii="仿宋" w:hAnsi="仿宋" w:eastAsia="仿宋" w:cs="仿宋"/>
          <w:i w:val="0"/>
          <w:caps w:val="0"/>
          <w:color w:val="444444"/>
          <w:spacing w:val="0"/>
          <w:kern w:val="0"/>
          <w:sz w:val="32"/>
          <w:szCs w:val="32"/>
          <w:shd w:val="clear" w:fill="FFFFFF"/>
          <w:lang w:val="en-US" w:eastAsia="zh-CN" w:bidi="ar"/>
        </w:rPr>
        <w:t>    （八）一般公共预算基本支出经济分类情况表；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5"/>
        <w:jc w:val="left"/>
        <w:rPr>
          <w:rFonts w:hint="eastAsia" w:ascii="宋体" w:hAnsi="宋体" w:eastAsia="宋体" w:cs="宋体"/>
          <w:i w:val="0"/>
          <w:caps w:val="0"/>
          <w:color w:val="333333"/>
          <w:spacing w:val="0"/>
          <w:sz w:val="24"/>
          <w:szCs w:val="24"/>
        </w:rPr>
      </w:pPr>
      <w:r>
        <w:rPr>
          <w:rFonts w:hint="eastAsia" w:ascii="仿宋" w:hAnsi="仿宋" w:eastAsia="仿宋" w:cs="仿宋"/>
          <w:i w:val="0"/>
          <w:caps w:val="0"/>
          <w:color w:val="444444"/>
          <w:spacing w:val="0"/>
          <w:kern w:val="0"/>
          <w:sz w:val="32"/>
          <w:szCs w:val="32"/>
          <w:shd w:val="clear" w:fill="FFFFFF"/>
          <w:lang w:val="en-US" w:eastAsia="zh-CN" w:bidi="ar"/>
        </w:rPr>
        <w:t>（九）一般公共预算“三公”经费支出预算表；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5"/>
        <w:jc w:val="left"/>
        <w:rPr>
          <w:rFonts w:hint="eastAsia" w:ascii="宋体" w:hAnsi="宋体" w:eastAsia="宋体" w:cs="宋体"/>
          <w:i w:val="0"/>
          <w:caps w:val="0"/>
          <w:color w:val="333333"/>
          <w:spacing w:val="0"/>
          <w:sz w:val="24"/>
          <w:szCs w:val="24"/>
        </w:rPr>
      </w:pPr>
      <w:r>
        <w:rPr>
          <w:rFonts w:hint="eastAsia" w:ascii="仿宋" w:hAnsi="仿宋" w:eastAsia="仿宋" w:cs="仿宋"/>
          <w:i w:val="0"/>
          <w:caps w:val="0"/>
          <w:color w:val="444444"/>
          <w:spacing w:val="0"/>
          <w:kern w:val="0"/>
          <w:sz w:val="32"/>
          <w:szCs w:val="32"/>
          <w:shd w:val="clear" w:fill="FFFFFF"/>
          <w:lang w:val="en-US" w:eastAsia="zh-CN" w:bidi="ar"/>
        </w:rPr>
        <w:t>（十）部门业务费绩效目标表；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5"/>
        <w:jc w:val="left"/>
        <w:rPr>
          <w:rFonts w:hint="eastAsia" w:ascii="宋体" w:hAnsi="宋体" w:eastAsia="宋体" w:cs="宋体"/>
          <w:i w:val="0"/>
          <w:caps w:val="0"/>
          <w:color w:val="333333"/>
          <w:spacing w:val="0"/>
          <w:sz w:val="24"/>
          <w:szCs w:val="24"/>
        </w:rPr>
      </w:pPr>
      <w:r>
        <w:rPr>
          <w:rFonts w:hint="eastAsia" w:ascii="仿宋" w:hAnsi="仿宋" w:eastAsia="仿宋" w:cs="仿宋"/>
          <w:i w:val="0"/>
          <w:caps w:val="0"/>
          <w:color w:val="444444"/>
          <w:spacing w:val="0"/>
          <w:kern w:val="0"/>
          <w:sz w:val="32"/>
          <w:szCs w:val="32"/>
          <w:shd w:val="clear" w:fill="FFFFFF"/>
          <w:lang w:val="en-US" w:eastAsia="zh-CN" w:bidi="ar"/>
        </w:rPr>
        <w:t>（十一）专项资金绩效目标表。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5"/>
        <w:jc w:val="left"/>
        <w:rPr>
          <w:rFonts w:hint="eastAsia" w:ascii="宋体" w:hAnsi="宋体" w:eastAsia="宋体" w:cs="宋体"/>
          <w:i w:val="0"/>
          <w:caps w:val="0"/>
          <w:color w:val="333333"/>
          <w:spacing w:val="0"/>
          <w:sz w:val="24"/>
          <w:szCs w:val="24"/>
        </w:rPr>
      </w:pPr>
      <w:r>
        <w:rPr>
          <w:rFonts w:hint="eastAsia" w:ascii="仿宋" w:hAnsi="仿宋" w:eastAsia="仿宋" w:cs="仿宋"/>
          <w:i w:val="0"/>
          <w:caps w:val="0"/>
          <w:color w:val="444444"/>
          <w:spacing w:val="0"/>
          <w:kern w:val="0"/>
          <w:sz w:val="32"/>
          <w:szCs w:val="32"/>
          <w:shd w:val="clear" w:fill="FFFFFF"/>
          <w:lang w:val="en-US" w:eastAsia="zh-CN" w:bidi="ar"/>
        </w:rPr>
        <w:t>对属于公开范围的部门预决算报表，没有数据的表格应列出空表并说明。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5"/>
        <w:jc w:val="left"/>
        <w:rPr>
          <w:rFonts w:hint="eastAsia" w:ascii="宋体" w:hAnsi="宋体" w:eastAsia="宋体" w:cs="宋体"/>
          <w:i w:val="0"/>
          <w:caps w:val="0"/>
          <w:color w:val="333333"/>
          <w:spacing w:val="0"/>
          <w:sz w:val="24"/>
          <w:szCs w:val="24"/>
        </w:rPr>
      </w:pPr>
      <w:r>
        <w:rPr>
          <w:rFonts w:hint="eastAsia" w:ascii="仿宋" w:hAnsi="仿宋" w:eastAsia="仿宋" w:cs="仿宋"/>
          <w:i w:val="0"/>
          <w:caps w:val="0"/>
          <w:color w:val="444444"/>
          <w:spacing w:val="0"/>
          <w:kern w:val="0"/>
          <w:sz w:val="32"/>
          <w:szCs w:val="32"/>
          <w:shd w:val="clear" w:fill="FFFFFF"/>
          <w:lang w:val="en-US" w:eastAsia="zh-CN" w:bidi="ar"/>
        </w:rPr>
        <w:t>一般公共预算拨款支出预算表公开到功能分类项级科目。一般公共预算支出经济分类情况表公开到经济性质分类类级科目，其中：基本支出公开到经济性质分类款级科目。一般公共预算“三公”经费支出表按“因公出国（境）费”、“公务用车购置及运行费”、“公务接待费”公开，其中，“公务用车购置及运行费”应细化到“公务用车购置费”、“公务用车运行费”两个项目。公开的“三公”经费预决算应说明因公出国（境）费、公务用车购置及运行费、公务接待费增减变化情况及原因；公开的“三公”经费决算应说明因公出国(境)团组数及人数，公务用车购置数及保有量，国内公务接待的批次、人数等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5"/>
        <w:jc w:val="left"/>
        <w:rPr>
          <w:rFonts w:hint="eastAsia" w:ascii="宋体" w:hAnsi="宋体" w:eastAsia="宋体" w:cs="宋体"/>
          <w:i w:val="0"/>
          <w:caps w:val="0"/>
          <w:color w:val="333333"/>
          <w:spacing w:val="0"/>
          <w:sz w:val="24"/>
          <w:szCs w:val="24"/>
        </w:rPr>
      </w:pPr>
      <w:r>
        <w:rPr>
          <w:rFonts w:hint="eastAsia" w:ascii="仿宋" w:hAnsi="仿宋" w:eastAsia="仿宋" w:cs="仿宋"/>
          <w:i w:val="0"/>
          <w:caps w:val="0"/>
          <w:color w:val="444444"/>
          <w:spacing w:val="0"/>
          <w:kern w:val="0"/>
          <w:sz w:val="32"/>
          <w:szCs w:val="32"/>
          <w:shd w:val="clear" w:fill="FFFFFF"/>
          <w:lang w:val="en-US" w:eastAsia="zh-CN" w:bidi="ar"/>
        </w:rPr>
        <w:t>本部门公开预决算表的同时，应一并公开本部门预算说明、部门的职责、机构设置、预决算收支增减变化、机关运行经费安排、政府采购、国有资产占有使用、预算绩效等情况的说明，并对专业性较强的名词进行解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62"/>
        <w:jc w:val="left"/>
        <w:rPr>
          <w:rFonts w:hint="eastAsia" w:ascii="宋体" w:hAnsi="宋体" w:eastAsia="宋体" w:cs="宋体"/>
          <w:i w:val="0"/>
          <w:caps w:val="0"/>
          <w:color w:val="333333"/>
          <w:spacing w:val="0"/>
          <w:sz w:val="24"/>
          <w:szCs w:val="24"/>
        </w:rPr>
      </w:pPr>
      <w:r>
        <w:rPr>
          <w:rFonts w:hint="eastAsia" w:ascii="仿宋" w:hAnsi="仿宋" w:eastAsia="仿宋" w:cs="仿宋"/>
          <w:i w:val="0"/>
          <w:caps w:val="0"/>
          <w:color w:val="444444"/>
          <w:spacing w:val="-6"/>
          <w:kern w:val="0"/>
          <w:sz w:val="32"/>
          <w:szCs w:val="32"/>
          <w:shd w:val="clear" w:fill="FFFFFF"/>
          <w:lang w:val="en-US" w:eastAsia="zh-CN" w:bidi="ar"/>
        </w:rPr>
        <w:t>“预算绩效”情况本部门应当结合工作进展推进预算绩效信息公开，逐步在部门预算中公开部门重点项目预算的绩效目标，在部门决算中公开主要民生项目和重点支出项目的绩效评价结果。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6"/>
        <w:jc w:val="left"/>
        <w:rPr>
          <w:rFonts w:hint="eastAsia" w:ascii="宋体" w:hAnsi="宋体" w:eastAsia="宋体" w:cs="宋体"/>
          <w:i w:val="0"/>
          <w:caps w:val="0"/>
          <w:color w:val="333333"/>
          <w:spacing w:val="0"/>
          <w:sz w:val="24"/>
          <w:szCs w:val="24"/>
        </w:rPr>
      </w:pPr>
      <w:r>
        <w:rPr>
          <w:rFonts w:hint="eastAsia" w:ascii="黑体" w:hAnsi="宋体" w:eastAsia="黑体" w:cs="黑体"/>
          <w:b/>
          <w:i w:val="0"/>
          <w:caps w:val="0"/>
          <w:color w:val="333333"/>
          <w:spacing w:val="0"/>
          <w:kern w:val="0"/>
          <w:sz w:val="32"/>
          <w:szCs w:val="32"/>
          <w:shd w:val="clear" w:fill="FFFFFF"/>
          <w:lang w:val="en-US" w:eastAsia="zh-CN" w:bidi="ar"/>
        </w:rPr>
        <w:t>六、预决算公开方式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5"/>
        <w:jc w:val="left"/>
        <w:rPr>
          <w:rFonts w:hint="eastAsia" w:ascii="宋体" w:hAnsi="宋体" w:eastAsia="宋体" w:cs="宋体"/>
          <w:i w:val="0"/>
          <w:caps w:val="0"/>
          <w:color w:val="333333"/>
          <w:spacing w:val="0"/>
          <w:sz w:val="24"/>
          <w:szCs w:val="24"/>
        </w:rPr>
      </w:pPr>
      <w:r>
        <w:rPr>
          <w:rFonts w:hint="eastAsia" w:ascii="仿宋" w:hAnsi="仿宋" w:eastAsia="仿宋" w:cs="仿宋"/>
          <w:i w:val="0"/>
          <w:caps w:val="0"/>
          <w:color w:val="444444"/>
          <w:spacing w:val="0"/>
          <w:kern w:val="0"/>
          <w:sz w:val="32"/>
          <w:szCs w:val="32"/>
          <w:shd w:val="clear" w:fill="FFFFFF"/>
          <w:lang w:val="en-US" w:eastAsia="zh-CN" w:bidi="ar"/>
        </w:rPr>
        <w:t>本部门预决算公开统一在县政府门户网站预决算公开专栏上集中</w:t>
      </w:r>
      <w:r>
        <w:rPr>
          <w:rFonts w:hint="eastAsia" w:ascii="仿宋" w:hAnsi="仿宋" w:eastAsia="仿宋" w:cs="仿宋"/>
          <w:i w:val="0"/>
          <w:caps w:val="0"/>
          <w:color w:val="333333"/>
          <w:spacing w:val="0"/>
          <w:kern w:val="0"/>
          <w:sz w:val="32"/>
          <w:szCs w:val="32"/>
          <w:shd w:val="clear" w:fill="FFFFFF"/>
          <w:lang w:val="en-US" w:eastAsia="zh-CN" w:bidi="ar"/>
        </w:rPr>
        <w:t>向社会</w:t>
      </w:r>
      <w:r>
        <w:rPr>
          <w:rFonts w:hint="eastAsia" w:ascii="仿宋" w:hAnsi="仿宋" w:eastAsia="仿宋" w:cs="仿宋"/>
          <w:i w:val="0"/>
          <w:caps w:val="0"/>
          <w:color w:val="444444"/>
          <w:spacing w:val="0"/>
          <w:kern w:val="0"/>
          <w:sz w:val="32"/>
          <w:szCs w:val="32"/>
          <w:shd w:val="clear" w:fill="FFFFFF"/>
          <w:lang w:val="en-US" w:eastAsia="zh-CN" w:bidi="ar"/>
        </w:rPr>
        <w:t>公开，并永久保留。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3"/>
        <w:jc w:val="left"/>
        <w:rPr>
          <w:rFonts w:hint="eastAsia" w:ascii="宋体" w:hAnsi="宋体" w:eastAsia="宋体" w:cs="宋体"/>
          <w:i w:val="0"/>
          <w:caps w:val="0"/>
          <w:color w:val="333333"/>
          <w:spacing w:val="0"/>
          <w:sz w:val="24"/>
          <w:szCs w:val="24"/>
        </w:rPr>
      </w:pPr>
      <w:r>
        <w:rPr>
          <w:rFonts w:hint="eastAsia" w:ascii="黑体" w:hAnsi="宋体" w:eastAsia="黑体" w:cs="黑体"/>
          <w:i w:val="0"/>
          <w:caps w:val="0"/>
          <w:color w:val="333333"/>
          <w:spacing w:val="0"/>
          <w:kern w:val="0"/>
          <w:sz w:val="32"/>
          <w:szCs w:val="32"/>
          <w:shd w:val="clear" w:fill="FFFFFF"/>
          <w:lang w:val="en-US" w:eastAsia="zh-CN" w:bidi="ar"/>
        </w:rPr>
        <w:t>七、保障措施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left"/>
        <w:rPr>
          <w:rFonts w:hint="eastAsia" w:ascii="宋体" w:hAnsi="宋体" w:eastAsia="宋体" w:cs="宋体"/>
          <w:i w:val="0"/>
          <w:caps w:val="0"/>
          <w:color w:val="333333"/>
          <w:spacing w:val="0"/>
          <w:sz w:val="24"/>
          <w:szCs w:val="24"/>
        </w:rPr>
      </w:pPr>
      <w:r>
        <w:rPr>
          <w:rFonts w:hint="eastAsia" w:ascii="仿宋" w:hAnsi="仿宋" w:eastAsia="仿宋" w:cs="仿宋"/>
          <w:i w:val="0"/>
          <w:caps w:val="0"/>
          <w:color w:val="444444"/>
          <w:spacing w:val="0"/>
          <w:kern w:val="0"/>
          <w:sz w:val="32"/>
          <w:szCs w:val="32"/>
          <w:shd w:val="clear" w:fill="FFFFFF"/>
          <w:lang w:val="en-US" w:eastAsia="zh-CN" w:bidi="ar"/>
        </w:rPr>
        <w:t>根据县级财政部门制作的公开模板、预决算公开格式、预决算公开口径进行规范、统一的预决算公开。</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DF3416"/>
    <w:rsid w:val="10601EB3"/>
    <w:rsid w:val="248A1F22"/>
    <w:rsid w:val="2B874A68"/>
    <w:rsid w:val="38A7610A"/>
    <w:rsid w:val="4099138D"/>
    <w:rsid w:val="4807419D"/>
    <w:rsid w:val="4D0F3EE4"/>
    <w:rsid w:val="5653274E"/>
    <w:rsid w:val="71832B61"/>
    <w:rsid w:val="736717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Administrator</cp:lastModifiedBy>
  <dcterms:modified xsi:type="dcterms:W3CDTF">2022-01-21T00:34:47Z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