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宋体" w:hAnsi="宋体" w:eastAsia="宋体" w:cs="宋体"/>
          <w:i w:val="0"/>
          <w:caps w:val="0"/>
          <w:color w:val="333333"/>
          <w:spacing w:val="0"/>
          <w:sz w:val="24"/>
          <w:szCs w:val="24"/>
        </w:rPr>
      </w:pPr>
      <w:r>
        <w:rPr>
          <w:rFonts w:ascii="方正小标宋简体" w:hAnsi="方正小标宋简体" w:eastAsia="方正小标宋简体" w:cs="方正小标宋简体"/>
          <w:i w:val="0"/>
          <w:caps w:val="0"/>
          <w:color w:val="444444"/>
          <w:spacing w:val="0"/>
          <w:kern w:val="0"/>
          <w:sz w:val="44"/>
          <w:szCs w:val="44"/>
          <w:bdr w:val="none" w:color="auto" w:sz="0" w:space="0"/>
          <w:shd w:val="clear" w:fill="FFFFFF"/>
          <w:lang w:val="en-US" w:eastAsia="zh-CN" w:bidi="ar"/>
        </w:rPr>
        <w:t>古城管理处</w:t>
      </w:r>
      <w:r>
        <w:rPr>
          <w:rFonts w:hint="eastAsia" w:ascii="方正小标宋简体" w:hAnsi="方正小标宋简体" w:eastAsia="方正小标宋简体" w:cs="方正小标宋简体"/>
          <w:i w:val="0"/>
          <w:caps w:val="0"/>
          <w:color w:val="444444"/>
          <w:spacing w:val="0"/>
          <w:kern w:val="0"/>
          <w:sz w:val="44"/>
          <w:szCs w:val="44"/>
          <w:bdr w:val="none" w:color="auto" w:sz="0" w:space="0"/>
          <w:shd w:val="clear" w:fill="FFFFFF"/>
          <w:lang w:val="en-US" w:eastAsia="zh-CN" w:bidi="ar"/>
        </w:rPr>
        <w:t>预决算公开管理办法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宋体" w:hAnsi="宋体" w:eastAsia="宋体" w:cs="宋体"/>
          <w:i w:val="0"/>
          <w:caps w:val="0"/>
          <w:color w:val="333333"/>
          <w:spacing w:val="0"/>
          <w:sz w:val="24"/>
          <w:szCs w:val="24"/>
        </w:rPr>
      </w:pPr>
      <w:r>
        <w:rPr>
          <w:rFonts w:ascii="仿宋" w:hAnsi="仿宋" w:eastAsia="仿宋" w:cs="仿宋"/>
          <w:i w:val="0"/>
          <w:caps w:val="0"/>
          <w:color w:val="444444"/>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left"/>
        <w:rPr>
          <w:rFonts w:hint="eastAsia" w:ascii="宋体" w:hAnsi="宋体" w:eastAsia="宋体" w:cs="宋体"/>
          <w:i w:val="0"/>
          <w:caps w:val="0"/>
          <w:color w:val="333333"/>
          <w:spacing w:val="0"/>
          <w:sz w:val="24"/>
          <w:szCs w:val="24"/>
        </w:rPr>
      </w:pPr>
      <w:r>
        <w:rPr>
          <w:rFonts w:ascii="黑体" w:hAnsi="宋体" w:eastAsia="黑体" w:cs="黑体"/>
          <w:i w:val="0"/>
          <w:caps w:val="0"/>
          <w:color w:val="444444"/>
          <w:spacing w:val="0"/>
          <w:kern w:val="0"/>
          <w:sz w:val="30"/>
          <w:szCs w:val="30"/>
          <w:bdr w:val="none" w:color="auto" w:sz="0" w:space="0"/>
          <w:shd w:val="clear" w:fill="FFFFFF"/>
          <w:lang w:val="en-US" w:eastAsia="zh-CN" w:bidi="ar"/>
        </w:rPr>
        <w:t>    </w:t>
      </w:r>
      <w:r>
        <w:rPr>
          <w:rFonts w:hint="eastAsia" w:ascii="黑体" w:hAnsi="宋体" w:eastAsia="黑体" w:cs="黑体"/>
          <w:i w:val="0"/>
          <w:caps w:val="0"/>
          <w:color w:val="444444"/>
          <w:spacing w:val="0"/>
          <w:kern w:val="0"/>
          <w:sz w:val="32"/>
          <w:szCs w:val="32"/>
          <w:bdr w:val="none" w:color="auto" w:sz="0" w:space="0"/>
          <w:shd w:val="clear" w:fill="FFFFFF"/>
          <w:lang w:val="en-US" w:eastAsia="zh-CN" w:bidi="ar"/>
        </w:rPr>
        <w:t>一、总体要求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为贯彻落实中央和省推进预算公开工作精神，进一步推进预决算公开工作，建立健全全面规范、公开透明的预算制度，根据《中华人民共和国预算法》、《中华人民共和国政府信息公开条例》、《中共福建省委办公厅省人民政府办公厅印发关于进一步推进预算公开工作的实施意见的通知》(闽委办发（2016）22号）等有关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444444"/>
          <w:spacing w:val="0"/>
          <w:kern w:val="0"/>
          <w:sz w:val="32"/>
          <w:szCs w:val="32"/>
          <w:bdr w:val="none" w:color="auto" w:sz="0" w:space="0"/>
          <w:shd w:val="clear" w:fill="FFFFFF"/>
          <w:lang w:val="en-US" w:eastAsia="zh-CN" w:bidi="ar"/>
        </w:rPr>
        <w:t>二、预决算公开原则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82"/>
        <w:jc w:val="left"/>
        <w:rPr>
          <w:rFonts w:hint="eastAsia" w:ascii="宋体" w:hAnsi="宋体" w:eastAsia="宋体" w:cs="宋体"/>
          <w:i w:val="0"/>
          <w:caps w:val="0"/>
          <w:color w:val="333333"/>
          <w:spacing w:val="0"/>
          <w:sz w:val="24"/>
          <w:szCs w:val="24"/>
        </w:rPr>
      </w:pPr>
      <w:r>
        <w:rPr>
          <w:rFonts w:ascii="楷体" w:hAnsi="楷体" w:eastAsia="楷体" w:cs="楷体"/>
          <w:b/>
          <w:i w:val="0"/>
          <w:caps w:val="0"/>
          <w:color w:val="444444"/>
          <w:spacing w:val="0"/>
          <w:kern w:val="0"/>
          <w:sz w:val="32"/>
          <w:szCs w:val="32"/>
          <w:bdr w:val="none" w:color="auto" w:sz="0" w:space="0"/>
          <w:shd w:val="clear" w:fill="FFFFFF"/>
          <w:lang w:val="en-US" w:eastAsia="zh-CN" w:bidi="ar"/>
        </w:rPr>
        <w:t>（一）积极公开。</w:t>
      </w: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以公开为常态、不公开为例外，除涉及国家秘密的信息外，不得少公开、不公开应当公开的事项，保证公开内容全面、真实、完整。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82"/>
        <w:jc w:val="left"/>
        <w:rPr>
          <w:rFonts w:hint="eastAsia" w:ascii="宋体" w:hAnsi="宋体" w:eastAsia="宋体" w:cs="宋体"/>
          <w:i w:val="0"/>
          <w:caps w:val="0"/>
          <w:color w:val="333333"/>
          <w:spacing w:val="0"/>
          <w:sz w:val="24"/>
          <w:szCs w:val="24"/>
        </w:rPr>
      </w:pPr>
      <w:r>
        <w:rPr>
          <w:rFonts w:hint="eastAsia" w:ascii="楷体" w:hAnsi="楷体" w:eastAsia="楷体" w:cs="楷体"/>
          <w:b/>
          <w:i w:val="0"/>
          <w:caps w:val="0"/>
          <w:color w:val="444444"/>
          <w:spacing w:val="0"/>
          <w:kern w:val="0"/>
          <w:sz w:val="32"/>
          <w:szCs w:val="32"/>
          <w:bdr w:val="none" w:color="auto" w:sz="0" w:space="0"/>
          <w:shd w:val="clear" w:fill="FFFFFF"/>
          <w:lang w:val="en-US" w:eastAsia="zh-CN" w:bidi="ar"/>
        </w:rPr>
        <w:t>（二）强化责任。</w:t>
      </w: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坚持谁主管、谁公开、谁负责，本部门应当切实履行职责，依法主动公开预决算信息。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82"/>
        <w:jc w:val="left"/>
        <w:rPr>
          <w:rFonts w:hint="eastAsia" w:ascii="宋体" w:hAnsi="宋体" w:eastAsia="宋体" w:cs="宋体"/>
          <w:i w:val="0"/>
          <w:caps w:val="0"/>
          <w:color w:val="333333"/>
          <w:spacing w:val="0"/>
          <w:sz w:val="24"/>
          <w:szCs w:val="24"/>
        </w:rPr>
      </w:pPr>
      <w:r>
        <w:rPr>
          <w:rFonts w:hint="eastAsia" w:ascii="楷体" w:hAnsi="楷体" w:eastAsia="楷体" w:cs="楷体"/>
          <w:b/>
          <w:i w:val="0"/>
          <w:caps w:val="0"/>
          <w:color w:val="444444"/>
          <w:spacing w:val="0"/>
          <w:kern w:val="0"/>
          <w:sz w:val="32"/>
          <w:szCs w:val="32"/>
          <w:bdr w:val="none" w:color="auto" w:sz="0" w:space="0"/>
          <w:shd w:val="clear" w:fill="FFFFFF"/>
          <w:lang w:val="en-US" w:eastAsia="zh-CN" w:bidi="ar"/>
        </w:rPr>
        <w:t>（三）促进改革。</w:t>
      </w: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以公开为抓手，通过预决算公开促进财税体制改革和其他相关领域改革，促进财税政策落实，促进财政管理规范，促进政府效能提高。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82"/>
        <w:jc w:val="left"/>
        <w:rPr>
          <w:rFonts w:hint="eastAsia" w:ascii="宋体" w:hAnsi="宋体" w:eastAsia="宋体" w:cs="宋体"/>
          <w:i w:val="0"/>
          <w:caps w:val="0"/>
          <w:color w:val="333333"/>
          <w:spacing w:val="0"/>
          <w:sz w:val="24"/>
          <w:szCs w:val="24"/>
        </w:rPr>
      </w:pPr>
      <w:r>
        <w:rPr>
          <w:rFonts w:hint="eastAsia" w:ascii="楷体" w:hAnsi="楷体" w:eastAsia="楷体" w:cs="楷体"/>
          <w:b/>
          <w:i w:val="0"/>
          <w:caps w:val="0"/>
          <w:color w:val="444444"/>
          <w:spacing w:val="0"/>
          <w:kern w:val="0"/>
          <w:sz w:val="32"/>
          <w:szCs w:val="32"/>
          <w:bdr w:val="none" w:color="auto" w:sz="0" w:space="0"/>
          <w:shd w:val="clear" w:fill="FFFFFF"/>
          <w:lang w:val="en-US" w:eastAsia="zh-CN" w:bidi="ar"/>
        </w:rPr>
        <w:t>（四）同步推进。</w:t>
      </w: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保持上下联动、部门同步，规范部门预决算公开工作。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33"/>
        <w:jc w:val="left"/>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三、预决算公开职责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33"/>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部门预决算由本部门负责公开。除涉密信息外，应主动、及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时向社会公开经县级财政部门批复的本部门预算、决算及报表等预决算信息。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本部门负责制定本部门预决算公开的规定，预决算公开情况须报送县级财政部门。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3"/>
        <w:jc w:val="left"/>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四、预决算公开时间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部门预决算应在县级财政部门批复后20日内向社会公开。本部门必须在法律规定的时限内公开，鼓励公开时间适当提前。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6"/>
        <w:jc w:val="left"/>
        <w:rPr>
          <w:rFonts w:hint="eastAsia" w:ascii="宋体" w:hAnsi="宋体" w:eastAsia="宋体" w:cs="宋体"/>
          <w:i w:val="0"/>
          <w:caps w:val="0"/>
          <w:color w:val="333333"/>
          <w:spacing w:val="0"/>
          <w:sz w:val="24"/>
          <w:szCs w:val="24"/>
        </w:rPr>
      </w:pPr>
      <w:r>
        <w:rPr>
          <w:rFonts w:hint="eastAsia" w:ascii="黑体" w:hAnsi="宋体" w:eastAsia="黑体" w:cs="黑体"/>
          <w:b/>
          <w:i w:val="0"/>
          <w:caps w:val="0"/>
          <w:color w:val="333333"/>
          <w:spacing w:val="0"/>
          <w:kern w:val="0"/>
          <w:sz w:val="32"/>
          <w:szCs w:val="32"/>
          <w:bdr w:val="none" w:color="auto" w:sz="0" w:space="0"/>
          <w:shd w:val="clear" w:fill="FFFFFF"/>
          <w:lang w:val="en-US" w:eastAsia="zh-CN" w:bidi="ar"/>
        </w:rPr>
        <w:t>五、部门预决算公开内容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部门预决算公开内容为县级财政部门批复的部门预决算及报表，包括部门收支总体情况和财政拨款收支情况，公开表如下：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 （一）部门收支预算总表；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 （二）部门收入预算总表；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 （三）部门支出预算总表；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 （四）财政拨款收支预算总表；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 （五）一般公共预算拨款支出预算表；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 （六）政府性基金拨款支出预算表；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    （七）一般公共预算支出经济分类情况表；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    （八）一般公共预算基本支出经济分类情况表；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（九）一般公共预算“三公”经费支出预算表；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（十）部门业务费绩效目标表；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（十一）专项资金绩效目标表。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对属于公开范围的部门预决算报表，没有数据的表格应列出空表并说明。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一般公共预算拨款支出预算表公开到功能分类项级科目。一般公共预算支出经济分类情况表公开到经济性质分类类级科目，其中：基本支出公开到经济性质分类款级科目。一般公共预算“三公”经费支出表按“因公出国（境）费”、“公务用车购置及运行费”、“公务接待费”公开，其中，“公务用车购置及运行费”应细化到“公务用车购置费”、“公务用车运行费”两个项目。公开的“三公”经费预决算应说明因公出国（境）费、公务用车购置及运行费、公务接待费增减变化情况及原因；公开的“三公”经费决算应说明因公出国(境)团组数及人数，公务用车购置数及保有量，国内公务接待的批次、人数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本部门公开预决算表的同时，应一并公开本部门预算说明、部门的职责、机构设置、预决算收支增减变化、机关运行经费安排、政府采购、国有资产占有使用、预算绩效等情况的说明，并对专业性较强的名词进行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62"/>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6"/>
          <w:kern w:val="0"/>
          <w:sz w:val="32"/>
          <w:szCs w:val="32"/>
          <w:bdr w:val="none" w:color="auto" w:sz="0" w:space="0"/>
          <w:shd w:val="clear" w:fill="FFFFFF"/>
          <w:lang w:val="en-US" w:eastAsia="zh-CN" w:bidi="ar"/>
        </w:rPr>
        <w:t>“预算绩效”情况本部门应当结合工作进展推进预算绩效信息公开，逐步在部门预算中公开部门重点项目预算的绩效目标，在部门决算中公开主要民生项目和重点支出项目的绩效评价结果。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6"/>
        <w:jc w:val="left"/>
        <w:rPr>
          <w:rFonts w:hint="eastAsia" w:ascii="宋体" w:hAnsi="宋体" w:eastAsia="宋体" w:cs="宋体"/>
          <w:i w:val="0"/>
          <w:caps w:val="0"/>
          <w:color w:val="333333"/>
          <w:spacing w:val="0"/>
          <w:sz w:val="24"/>
          <w:szCs w:val="24"/>
        </w:rPr>
      </w:pPr>
      <w:r>
        <w:rPr>
          <w:rFonts w:hint="eastAsia" w:ascii="黑体" w:hAnsi="宋体" w:eastAsia="黑体" w:cs="黑体"/>
          <w:b/>
          <w:i w:val="0"/>
          <w:caps w:val="0"/>
          <w:color w:val="333333"/>
          <w:spacing w:val="0"/>
          <w:kern w:val="0"/>
          <w:sz w:val="32"/>
          <w:szCs w:val="32"/>
          <w:bdr w:val="none" w:color="auto" w:sz="0" w:space="0"/>
          <w:shd w:val="clear" w:fill="FFFFFF"/>
          <w:lang w:val="en-US" w:eastAsia="zh-CN" w:bidi="ar"/>
        </w:rPr>
        <w:t>六、预决算公开方式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本部门预决算公开统一在县政府门户网站预决算公开专栏上集中</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向社会</w:t>
      </w: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公开，并永久保留。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3"/>
        <w:jc w:val="left"/>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七、保障措施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根据县级财政部门制作的公开模板、预决算公开格式、预决算公开口径进行规范、统一的预决算公开。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964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2020-02-21T01:35:23Z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