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DF" w:rsidRDefault="00E349DF" w:rsidP="00E349DF">
      <w:pPr>
        <w:widowControl/>
        <w:shd w:val="clear" w:color="auto" w:fill="FFFFFF"/>
        <w:spacing w:line="516" w:lineRule="atLeast"/>
        <w:jc w:val="center"/>
        <w:outlineLvl w:val="2"/>
        <w:rPr>
          <w:rFonts w:ascii="微软雅黑" w:eastAsia="微软雅黑" w:hAnsi="微软雅黑" w:cs="宋体" w:hint="eastAsia"/>
          <w:b/>
          <w:bCs/>
          <w:color w:val="333333"/>
          <w:kern w:val="0"/>
          <w:sz w:val="33"/>
          <w:szCs w:val="33"/>
        </w:rPr>
      </w:pPr>
      <w:r w:rsidRPr="00E349DF">
        <w:rPr>
          <w:rFonts w:ascii="微软雅黑" w:eastAsia="微软雅黑" w:hAnsi="微软雅黑" w:cs="宋体" w:hint="eastAsia"/>
          <w:b/>
          <w:bCs/>
          <w:color w:val="333333"/>
          <w:kern w:val="0"/>
          <w:sz w:val="33"/>
          <w:szCs w:val="33"/>
        </w:rPr>
        <w:t>泰宁县水利局预决算公开管理办法</w:t>
      </w:r>
    </w:p>
    <w:p w:rsidR="00E349DF" w:rsidRPr="00E349DF" w:rsidRDefault="00E349DF" w:rsidP="00E349DF">
      <w:pPr>
        <w:widowControl/>
        <w:shd w:val="clear" w:color="auto" w:fill="FFFFFF"/>
        <w:spacing w:line="516" w:lineRule="atLeast"/>
        <w:jc w:val="center"/>
        <w:outlineLvl w:val="2"/>
        <w:rPr>
          <w:rFonts w:ascii="微软雅黑" w:eastAsia="微软雅黑" w:hAnsi="微软雅黑" w:cs="宋体"/>
          <w:b/>
          <w:bCs/>
          <w:color w:val="333333"/>
          <w:kern w:val="0"/>
          <w:sz w:val="33"/>
          <w:szCs w:val="33"/>
        </w:rPr>
      </w:pPr>
    </w:p>
    <w:p w:rsidR="00E349DF" w:rsidRPr="00E349DF" w:rsidRDefault="00E349DF" w:rsidP="00E349DF">
      <w:pPr>
        <w:widowControl/>
        <w:shd w:val="clear" w:color="auto" w:fill="FFFFFF"/>
        <w:wordWrap w:val="0"/>
        <w:spacing w:line="435" w:lineRule="atLeast"/>
        <w:jc w:val="left"/>
        <w:rPr>
          <w:rFonts w:ascii="宋体" w:eastAsia="宋体" w:hAnsi="宋体" w:cs="宋体" w:hint="eastAsia"/>
          <w:color w:val="333333"/>
          <w:kern w:val="0"/>
          <w:sz w:val="22"/>
        </w:rPr>
      </w:pPr>
      <w:r>
        <w:rPr>
          <w:rFonts w:ascii="仿宋_GB2312" w:eastAsia="仿宋_GB2312" w:hAnsi="宋体" w:cs="宋体" w:hint="eastAsia"/>
          <w:color w:val="333333"/>
          <w:spacing w:val="8"/>
          <w:kern w:val="0"/>
          <w:sz w:val="32"/>
          <w:szCs w:val="32"/>
        </w:rPr>
        <w:t>  </w:t>
      </w:r>
      <w:r w:rsidRPr="00E349DF">
        <w:rPr>
          <w:rFonts w:ascii="仿宋_GB2312" w:eastAsia="仿宋_GB2312" w:hAnsi="宋体" w:cs="宋体" w:hint="eastAsia"/>
          <w:color w:val="333333"/>
          <w:spacing w:val="8"/>
          <w:kern w:val="0"/>
          <w:sz w:val="32"/>
          <w:szCs w:val="32"/>
        </w:rPr>
        <w:t>为进一步推进预决算公开工作，根据</w:t>
      </w:r>
      <w:r>
        <w:rPr>
          <w:rFonts w:ascii="仿宋_GB2312" w:eastAsia="仿宋_GB2312" w:hAnsi="宋体" w:cs="宋体" w:hint="eastAsia"/>
          <w:color w:val="333333"/>
          <w:spacing w:val="8"/>
          <w:kern w:val="0"/>
          <w:sz w:val="32"/>
          <w:szCs w:val="32"/>
        </w:rPr>
        <w:t>《中华人民共和国预算法》、《关于进一步推进预算公开工作的实施意见》（闽委办发【2016】22号）、</w:t>
      </w:r>
      <w:r w:rsidRPr="00E349DF">
        <w:rPr>
          <w:rFonts w:ascii="仿宋_GB2312" w:eastAsia="仿宋_GB2312" w:hAnsi="宋体" w:cs="宋体" w:hint="eastAsia"/>
          <w:color w:val="333333"/>
          <w:spacing w:val="8"/>
          <w:kern w:val="0"/>
          <w:sz w:val="32"/>
          <w:szCs w:val="32"/>
        </w:rPr>
        <w:t>《福建省预决算公开操作规程的通知》</w:t>
      </w:r>
      <w:r>
        <w:rPr>
          <w:rFonts w:ascii="仿宋_GB2312" w:eastAsia="仿宋_GB2312" w:hAnsi="宋体" w:cs="宋体" w:hint="eastAsia"/>
          <w:color w:val="333333"/>
          <w:spacing w:val="8"/>
          <w:kern w:val="0"/>
          <w:sz w:val="32"/>
          <w:szCs w:val="32"/>
        </w:rPr>
        <w:t>（</w:t>
      </w:r>
      <w:proofErr w:type="gramStart"/>
      <w:r w:rsidRPr="00E349DF">
        <w:rPr>
          <w:rFonts w:ascii="仿宋_GB2312" w:eastAsia="仿宋_GB2312" w:hAnsi="宋体" w:cs="宋体" w:hint="eastAsia"/>
          <w:color w:val="333333"/>
          <w:spacing w:val="8"/>
          <w:kern w:val="0"/>
          <w:sz w:val="32"/>
          <w:szCs w:val="32"/>
        </w:rPr>
        <w:t>闽财预</w:t>
      </w:r>
      <w:proofErr w:type="gramEnd"/>
      <w:r w:rsidRPr="00E349DF">
        <w:rPr>
          <w:rFonts w:ascii="仿宋_GB2312" w:eastAsia="仿宋_GB2312" w:hAnsi="宋体" w:cs="宋体" w:hint="eastAsia"/>
          <w:color w:val="333333"/>
          <w:kern w:val="0"/>
          <w:sz w:val="32"/>
          <w:szCs w:val="32"/>
        </w:rPr>
        <w:t>〔2017〕</w:t>
      </w:r>
      <w:r w:rsidRPr="00E349DF">
        <w:rPr>
          <w:rFonts w:ascii="仿宋_GB2312" w:eastAsia="仿宋_GB2312" w:hAnsi="宋体" w:cs="宋体" w:hint="eastAsia"/>
          <w:color w:val="333333"/>
          <w:spacing w:val="8"/>
          <w:kern w:val="0"/>
          <w:sz w:val="32"/>
          <w:szCs w:val="32"/>
        </w:rPr>
        <w:t>38号</w:t>
      </w:r>
      <w:r>
        <w:rPr>
          <w:rFonts w:ascii="仿宋_GB2312" w:eastAsia="仿宋_GB2312" w:hAnsi="宋体" w:cs="宋体" w:hint="eastAsia"/>
          <w:color w:val="333333"/>
          <w:spacing w:val="8"/>
          <w:kern w:val="0"/>
          <w:sz w:val="32"/>
          <w:szCs w:val="32"/>
        </w:rPr>
        <w:t>）、《泰宁县财政局关于预决算公开管理办法的通知》（</w:t>
      </w:r>
      <w:proofErr w:type="gramStart"/>
      <w:r>
        <w:rPr>
          <w:rFonts w:ascii="仿宋_GB2312" w:eastAsia="仿宋_GB2312" w:hAnsi="宋体" w:cs="宋体" w:hint="eastAsia"/>
          <w:color w:val="333333"/>
          <w:spacing w:val="8"/>
          <w:kern w:val="0"/>
          <w:sz w:val="32"/>
          <w:szCs w:val="32"/>
        </w:rPr>
        <w:t>泰财预</w:t>
      </w:r>
      <w:proofErr w:type="gramEnd"/>
      <w:r>
        <w:rPr>
          <w:rFonts w:ascii="仿宋_GB2312" w:eastAsia="仿宋_GB2312" w:hAnsi="宋体" w:cs="宋体" w:hint="eastAsia"/>
          <w:color w:val="333333"/>
          <w:spacing w:val="8"/>
          <w:kern w:val="0"/>
          <w:sz w:val="32"/>
          <w:szCs w:val="32"/>
        </w:rPr>
        <w:t>【2018】1号）等相关规定</w:t>
      </w:r>
      <w:r w:rsidRPr="00E349DF">
        <w:rPr>
          <w:rFonts w:ascii="仿宋_GB2312" w:eastAsia="仿宋_GB2312" w:hAnsi="宋体" w:cs="宋体" w:hint="eastAsia"/>
          <w:color w:val="333333"/>
          <w:spacing w:val="8"/>
          <w:kern w:val="0"/>
          <w:sz w:val="32"/>
          <w:szCs w:val="32"/>
        </w:rPr>
        <w:t>的要求，</w:t>
      </w:r>
      <w:r>
        <w:rPr>
          <w:rFonts w:ascii="仿宋_GB2312" w:eastAsia="仿宋_GB2312" w:hAnsi="宋体" w:cs="宋体" w:hint="eastAsia"/>
          <w:color w:val="333333"/>
          <w:spacing w:val="8"/>
          <w:kern w:val="0"/>
          <w:sz w:val="32"/>
          <w:szCs w:val="32"/>
        </w:rPr>
        <w:t>结合水利局年度公开重点工作，制定预决算公开方案，规范预决算公开工作，</w:t>
      </w:r>
      <w:r w:rsidRPr="00E349DF">
        <w:rPr>
          <w:rFonts w:ascii="仿宋_GB2312" w:eastAsia="仿宋_GB2312" w:hAnsi="宋体" w:cs="宋体" w:hint="eastAsia"/>
          <w:color w:val="333333"/>
          <w:spacing w:val="8"/>
          <w:kern w:val="0"/>
          <w:sz w:val="32"/>
          <w:szCs w:val="32"/>
        </w:rPr>
        <w:t>现</w:t>
      </w:r>
      <w:r>
        <w:rPr>
          <w:rFonts w:ascii="仿宋_GB2312" w:eastAsia="仿宋_GB2312" w:hAnsi="宋体" w:cs="宋体" w:hint="eastAsia"/>
          <w:color w:val="333333"/>
          <w:spacing w:val="8"/>
          <w:kern w:val="0"/>
          <w:sz w:val="32"/>
          <w:szCs w:val="32"/>
        </w:rPr>
        <w:t>将</w:t>
      </w:r>
      <w:r w:rsidRPr="00E349DF">
        <w:rPr>
          <w:rFonts w:ascii="仿宋_GB2312" w:eastAsia="仿宋_GB2312" w:hAnsi="宋体" w:cs="宋体" w:hint="eastAsia"/>
          <w:color w:val="333333"/>
          <w:spacing w:val="8"/>
          <w:kern w:val="0"/>
          <w:sz w:val="32"/>
          <w:szCs w:val="32"/>
        </w:rPr>
        <w:t>预决算公开工作通知如下，请认真贯彻执行。</w:t>
      </w:r>
    </w:p>
    <w:p w:rsidR="00E349DF" w:rsidRPr="00E349DF" w:rsidRDefault="00E349DF" w:rsidP="00E349DF">
      <w:pPr>
        <w:widowControl/>
        <w:shd w:val="clear" w:color="auto" w:fill="FFFFFF"/>
        <w:wordWrap w:val="0"/>
        <w:spacing w:line="560" w:lineRule="atLeast"/>
        <w:ind w:left="684"/>
        <w:jc w:val="left"/>
        <w:rPr>
          <w:rFonts w:ascii="宋体" w:eastAsia="宋体" w:hAnsi="宋体" w:cs="宋体" w:hint="eastAsia"/>
          <w:color w:val="333333"/>
          <w:kern w:val="0"/>
          <w:sz w:val="22"/>
        </w:rPr>
      </w:pPr>
      <w:r w:rsidRPr="00E349DF">
        <w:rPr>
          <w:rFonts w:ascii="宋体" w:eastAsia="宋体" w:hAnsi="宋体" w:cs="宋体" w:hint="eastAsia"/>
          <w:b/>
          <w:bCs/>
          <w:color w:val="333333"/>
          <w:spacing w:val="8"/>
          <w:kern w:val="0"/>
          <w:sz w:val="22"/>
        </w:rPr>
        <w:t>一、</w:t>
      </w:r>
      <w:r w:rsidRPr="00E349DF">
        <w:rPr>
          <w:rFonts w:ascii="仿宋_GB2312" w:eastAsia="仿宋_GB2312" w:hAnsi="宋体" w:cs="宋体" w:hint="eastAsia"/>
          <w:b/>
          <w:bCs/>
          <w:color w:val="333333"/>
          <w:spacing w:val="8"/>
          <w:kern w:val="0"/>
          <w:sz w:val="32"/>
          <w:szCs w:val="32"/>
        </w:rPr>
        <w:t>总体要求</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为贯彻落实中央和</w:t>
      </w:r>
      <w:proofErr w:type="gramStart"/>
      <w:r w:rsidRPr="00E349DF">
        <w:rPr>
          <w:rFonts w:ascii="仿宋_GB2312" w:eastAsia="仿宋_GB2312" w:hAnsi="宋体" w:cs="宋体" w:hint="eastAsia"/>
          <w:color w:val="333333"/>
          <w:spacing w:val="8"/>
          <w:kern w:val="0"/>
          <w:sz w:val="32"/>
          <w:szCs w:val="32"/>
        </w:rPr>
        <w:t>省推进</w:t>
      </w:r>
      <w:proofErr w:type="gramEnd"/>
      <w:r w:rsidRPr="00E349DF">
        <w:rPr>
          <w:rFonts w:ascii="仿宋_GB2312" w:eastAsia="仿宋_GB2312" w:hAnsi="宋体" w:cs="宋体" w:hint="eastAsia"/>
          <w:color w:val="333333"/>
          <w:spacing w:val="8"/>
          <w:kern w:val="0"/>
          <w:sz w:val="32"/>
          <w:szCs w:val="32"/>
        </w:rPr>
        <w:t>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我局高度重视，充分认识预决算公开工作的必要性和重要性，认真做好预决算公开工作。</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b/>
          <w:bCs/>
          <w:color w:val="333333"/>
          <w:spacing w:val="8"/>
          <w:kern w:val="0"/>
          <w:sz w:val="32"/>
          <w:szCs w:val="32"/>
        </w:rPr>
        <w:t>二、预决算公开的原则</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lastRenderedPageBreak/>
        <w:t>（一）积极公开。以公开为常态、不公开为例外，除涉及国家秘密的信息外，不得少公开、不公开应当公开的事项，保证公开内容全面、真实、完整；</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（二）强化责任。坚持谁主管、谁公开、谁负责，应当切实履行职责，依法主动公开预决算信息；</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（三）促进改革。以公开为抓手，通过预决算公开促进财税体制改革和其他相关领域改革，促进财税政策落实，促进财政管理规范，促进政府效能提高；</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（四）同步推进。保持上下联动、同步，规范预决算公开工作。</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b/>
          <w:bCs/>
          <w:color w:val="333333"/>
          <w:spacing w:val="8"/>
          <w:kern w:val="0"/>
          <w:sz w:val="32"/>
          <w:szCs w:val="32"/>
        </w:rPr>
        <w:t>三、预决算公开职责</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本局预决算由办公室负责公开。除涉密信息外，应主动、及时向社会公开经县财政部门批复的本局预算、决算及报表等预决算信息。需制定本部门预决算公开的规定，水利局预决算公开情况须报送县财政部门。</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b/>
          <w:bCs/>
          <w:color w:val="333333"/>
          <w:spacing w:val="8"/>
          <w:kern w:val="0"/>
          <w:sz w:val="32"/>
          <w:szCs w:val="32"/>
        </w:rPr>
        <w:t>四、预决算公开时间</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预决算应当在县财政部门批复后20日内向社会公开。必须在法律规定的时限内公开，鼓励公开时间适当提前，原则上在同一天集中公开。</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b/>
          <w:bCs/>
          <w:color w:val="333333"/>
          <w:spacing w:val="8"/>
          <w:kern w:val="0"/>
          <w:sz w:val="32"/>
          <w:szCs w:val="32"/>
        </w:rPr>
        <w:t>五、预决算公开内容</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lastRenderedPageBreak/>
        <w:t>预决算公开内容为财政部门批复的部门预决算及报表，包括部门收支总体情况和财政拨款收支情况，公开表如下：</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（一）部门收支预算总表；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（二）部门收入预算总表；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（三）部门支出预算总表；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（四）财政拨款收支预算总表；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（五）一般公共预算拨款支出预算表；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（六）政府性基金拨款支出预算表；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（七）一般公共预算支出经济分类情况表；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（八）一般公共预算基本支出经济分类情况表；</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（九）一般公共预算“三公”经费支出预算表；</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（十）部门业务费绩效目标表；</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（十一）专项资金绩效目标表。</w:t>
      </w:r>
    </w:p>
    <w:p w:rsidR="00E349DF" w:rsidRPr="00E349DF" w:rsidRDefault="00E349DF" w:rsidP="00E349DF">
      <w:pPr>
        <w:widowControl/>
        <w:shd w:val="clear" w:color="auto" w:fill="FFFFFF"/>
        <w:wordWrap w:val="0"/>
        <w:spacing w:line="560" w:lineRule="atLeast"/>
        <w:ind w:firstLine="68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对属于公开范围的部门预决算报表，没有数据的表格应当列出空表并说明。</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一般公共预算拨款支出预算</w:t>
      </w:r>
      <w:proofErr w:type="gramStart"/>
      <w:r w:rsidRPr="00E349DF">
        <w:rPr>
          <w:rFonts w:ascii="仿宋_GB2312" w:eastAsia="仿宋_GB2312" w:hAnsi="宋体" w:cs="宋体" w:hint="eastAsia"/>
          <w:color w:val="333333"/>
          <w:spacing w:val="8"/>
          <w:kern w:val="0"/>
          <w:sz w:val="32"/>
          <w:szCs w:val="32"/>
        </w:rPr>
        <w:t>表公开</w:t>
      </w:r>
      <w:proofErr w:type="gramEnd"/>
      <w:r w:rsidRPr="00E349DF">
        <w:rPr>
          <w:rFonts w:ascii="仿宋_GB2312" w:eastAsia="仿宋_GB2312" w:hAnsi="宋体" w:cs="宋体" w:hint="eastAsia"/>
          <w:color w:val="333333"/>
          <w:spacing w:val="8"/>
          <w:kern w:val="0"/>
          <w:sz w:val="32"/>
          <w:szCs w:val="32"/>
        </w:rPr>
        <w:t>到功能分类项级科目。一般公共预算支出经济分类情况</w:t>
      </w:r>
      <w:proofErr w:type="gramStart"/>
      <w:r w:rsidRPr="00E349DF">
        <w:rPr>
          <w:rFonts w:ascii="仿宋_GB2312" w:eastAsia="仿宋_GB2312" w:hAnsi="宋体" w:cs="宋体" w:hint="eastAsia"/>
          <w:color w:val="333333"/>
          <w:spacing w:val="8"/>
          <w:kern w:val="0"/>
          <w:sz w:val="32"/>
          <w:szCs w:val="32"/>
        </w:rPr>
        <w:t>表公开</w:t>
      </w:r>
      <w:proofErr w:type="gramEnd"/>
      <w:r w:rsidRPr="00E349DF">
        <w:rPr>
          <w:rFonts w:ascii="仿宋_GB2312" w:eastAsia="仿宋_GB2312" w:hAnsi="宋体" w:cs="宋体" w:hint="eastAsia"/>
          <w:color w:val="333333"/>
          <w:spacing w:val="8"/>
          <w:kern w:val="0"/>
          <w:sz w:val="32"/>
          <w:szCs w:val="32"/>
        </w:rPr>
        <w:t>到经济性质分类类级科目，其中：基本支出公开到经济性质</w:t>
      </w:r>
      <w:proofErr w:type="gramStart"/>
      <w:r w:rsidRPr="00E349DF">
        <w:rPr>
          <w:rFonts w:ascii="仿宋_GB2312" w:eastAsia="仿宋_GB2312" w:hAnsi="宋体" w:cs="宋体" w:hint="eastAsia"/>
          <w:color w:val="333333"/>
          <w:spacing w:val="8"/>
          <w:kern w:val="0"/>
          <w:sz w:val="32"/>
          <w:szCs w:val="32"/>
        </w:rPr>
        <w:t>分类款级</w:t>
      </w:r>
      <w:proofErr w:type="gramEnd"/>
      <w:r w:rsidRPr="00E349DF">
        <w:rPr>
          <w:rFonts w:ascii="仿宋_GB2312" w:eastAsia="仿宋_GB2312" w:hAnsi="宋体" w:cs="宋体" w:hint="eastAsia"/>
          <w:color w:val="333333"/>
          <w:spacing w:val="8"/>
          <w:kern w:val="0"/>
          <w:sz w:val="32"/>
          <w:szCs w:val="32"/>
        </w:rPr>
        <w:t>科目。一般公共预算“三公”经费支出表按“因公出国（境）费”、“公务用车购置及运行费”、“公务接待费”公开，其中，“公务用车购置及运行费”应当细化到“公务用车</w:t>
      </w:r>
      <w:r w:rsidRPr="00E349DF">
        <w:rPr>
          <w:rFonts w:ascii="仿宋_GB2312" w:eastAsia="仿宋_GB2312" w:hAnsi="宋体" w:cs="宋体" w:hint="eastAsia"/>
          <w:color w:val="333333"/>
          <w:spacing w:val="8"/>
          <w:kern w:val="0"/>
          <w:sz w:val="32"/>
          <w:szCs w:val="32"/>
        </w:rPr>
        <w:lastRenderedPageBreak/>
        <w:t>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rsidR="00E349DF" w:rsidRPr="00E349DF" w:rsidRDefault="00E349DF" w:rsidP="00E349DF">
      <w:pPr>
        <w:widowControl/>
        <w:shd w:val="clear" w:color="auto" w:fill="FFFFFF"/>
        <w:wordWrap w:val="0"/>
        <w:spacing w:line="560" w:lineRule="atLeast"/>
        <w:jc w:val="left"/>
        <w:rPr>
          <w:rFonts w:ascii="宋体" w:eastAsia="宋体" w:hAnsi="宋体" w:cs="宋体" w:hint="eastAsia"/>
          <w:color w:val="333333"/>
          <w:kern w:val="0"/>
          <w:sz w:val="22"/>
        </w:rPr>
      </w:pPr>
      <w:r>
        <w:rPr>
          <w:rFonts w:ascii="仿宋_GB2312" w:eastAsia="仿宋_GB2312" w:hAnsi="宋体" w:cs="宋体" w:hint="eastAsia"/>
          <w:color w:val="333333"/>
          <w:spacing w:val="8"/>
          <w:kern w:val="0"/>
          <w:sz w:val="32"/>
          <w:szCs w:val="32"/>
        </w:rPr>
        <w:t>  </w:t>
      </w:r>
      <w:r w:rsidRPr="00E349DF">
        <w:rPr>
          <w:rFonts w:ascii="仿宋_GB2312" w:eastAsia="仿宋_GB2312" w:hAnsi="宋体" w:cs="宋体" w:hint="eastAsia"/>
          <w:color w:val="333333"/>
          <w:spacing w:val="8"/>
          <w:kern w:val="0"/>
          <w:sz w:val="32"/>
          <w:szCs w:val="32"/>
        </w:rPr>
        <w:t>公开预决算表的同时，应当一并公开预算说明、职责、机构设置、预决算收支增减变化、机关运行经费安排、政府采购、国有资产占有使用、预算绩效等情况的说明，并对专业性较强的名词进行解释。</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“预算绩效”情况应当结合工作进展推进预算绩效信息公开，逐步在部门预算中公开重点项目预算的绩效目标，在部门决算中公开主要民生项目和重点支出项目的绩效评价结果。</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b/>
          <w:bCs/>
          <w:color w:val="333333"/>
          <w:spacing w:val="8"/>
          <w:kern w:val="0"/>
          <w:sz w:val="32"/>
          <w:szCs w:val="32"/>
        </w:rPr>
        <w:t>六、预决算公开方式</w:t>
      </w:r>
    </w:p>
    <w:p w:rsidR="00E349DF" w:rsidRPr="00E349DF" w:rsidRDefault="00E349DF" w:rsidP="00E349DF">
      <w:pPr>
        <w:widowControl/>
        <w:shd w:val="clear" w:color="auto" w:fill="FFFFFF"/>
        <w:wordWrap w:val="0"/>
        <w:spacing w:line="560" w:lineRule="atLeast"/>
        <w:ind w:firstLine="622"/>
        <w:jc w:val="left"/>
        <w:rPr>
          <w:rFonts w:ascii="宋体" w:eastAsia="宋体" w:hAnsi="宋体" w:cs="宋体" w:hint="eastAsia"/>
          <w:color w:val="333333"/>
          <w:kern w:val="0"/>
          <w:sz w:val="22"/>
        </w:rPr>
      </w:pPr>
      <w:r w:rsidRPr="00E349DF">
        <w:rPr>
          <w:rFonts w:ascii="仿宋_GB2312" w:eastAsia="仿宋_GB2312" w:hAnsi="宋体" w:cs="宋体" w:hint="eastAsia"/>
          <w:color w:val="333333"/>
          <w:kern w:val="0"/>
          <w:sz w:val="32"/>
          <w:szCs w:val="32"/>
        </w:rPr>
        <w:t>统一在我县政府门户网站预决算公开专栏上集中公开</w:t>
      </w:r>
      <w:r w:rsidRPr="00E349DF">
        <w:rPr>
          <w:rFonts w:ascii="仿宋_GB2312" w:eastAsia="仿宋_GB2312" w:hAnsi="宋体" w:cs="宋体" w:hint="eastAsia"/>
          <w:color w:val="333333"/>
          <w:spacing w:val="8"/>
          <w:kern w:val="0"/>
          <w:sz w:val="32"/>
          <w:szCs w:val="32"/>
        </w:rPr>
        <w:t>。对在统一平台公开政府预决算、部门预决算的，应当编制目录，对公开内容进行分类、分级，方便公众查阅和监督。</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b/>
          <w:bCs/>
          <w:color w:val="333333"/>
          <w:spacing w:val="8"/>
          <w:kern w:val="0"/>
          <w:sz w:val="32"/>
          <w:szCs w:val="32"/>
        </w:rPr>
        <w:t>七、保障措施</w:t>
      </w:r>
    </w:p>
    <w:p w:rsidR="00E349DF" w:rsidRPr="00E349DF" w:rsidRDefault="00E349DF" w:rsidP="00E349DF">
      <w:pPr>
        <w:widowControl/>
        <w:shd w:val="clear" w:color="auto" w:fill="FFFFFF"/>
        <w:wordWrap w:val="0"/>
        <w:spacing w:line="560" w:lineRule="atLeast"/>
        <w:ind w:firstLine="654"/>
        <w:jc w:val="left"/>
        <w:rPr>
          <w:rFonts w:ascii="宋体" w:eastAsia="宋体" w:hAnsi="宋体" w:cs="宋体" w:hint="eastAsia"/>
          <w:color w:val="333333"/>
          <w:kern w:val="0"/>
          <w:sz w:val="22"/>
        </w:rPr>
      </w:pPr>
      <w:r w:rsidRPr="00E349DF">
        <w:rPr>
          <w:rFonts w:ascii="仿宋_GB2312" w:eastAsia="仿宋_GB2312" w:hAnsi="宋体" w:cs="宋体" w:hint="eastAsia"/>
          <w:color w:val="333333"/>
          <w:spacing w:val="8"/>
          <w:kern w:val="0"/>
          <w:sz w:val="32"/>
          <w:szCs w:val="32"/>
        </w:rPr>
        <w:t>加强对本地区预决算公开工作的指导，建立预决算公开统计工作机制，开展预决算公开检查，检查中发现的问题监督整改，整改不力的进行通报、约谈和现场督导等方式，督促整改到位。同时根据上级要求及时制作公开模板，</w:t>
      </w:r>
      <w:r w:rsidRPr="00E349DF">
        <w:rPr>
          <w:rFonts w:ascii="仿宋_GB2312" w:eastAsia="仿宋_GB2312" w:hAnsi="宋体" w:cs="宋体" w:hint="eastAsia"/>
          <w:color w:val="333333"/>
          <w:spacing w:val="8"/>
          <w:kern w:val="0"/>
          <w:sz w:val="32"/>
          <w:szCs w:val="32"/>
        </w:rPr>
        <w:lastRenderedPageBreak/>
        <w:t>规范预决算公开格式，统一预决算公开口径，提高本局预决算公开的规范化水平。</w:t>
      </w:r>
    </w:p>
    <w:p w:rsidR="00243680" w:rsidRPr="00E349DF" w:rsidRDefault="00243680">
      <w:pPr>
        <w:rPr>
          <w:rFonts w:hint="eastAsia"/>
        </w:rPr>
      </w:pPr>
    </w:p>
    <w:sectPr w:rsidR="00243680" w:rsidRPr="00E349DF" w:rsidSect="002436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9DF"/>
    <w:rsid w:val="000023F4"/>
    <w:rsid w:val="000131B3"/>
    <w:rsid w:val="000173DE"/>
    <w:rsid w:val="00024717"/>
    <w:rsid w:val="00086DE5"/>
    <w:rsid w:val="000D5A35"/>
    <w:rsid w:val="000E2340"/>
    <w:rsid w:val="000F28D0"/>
    <w:rsid w:val="00113BFB"/>
    <w:rsid w:val="00132143"/>
    <w:rsid w:val="0013591A"/>
    <w:rsid w:val="00144C04"/>
    <w:rsid w:val="00146817"/>
    <w:rsid w:val="00162724"/>
    <w:rsid w:val="0016452E"/>
    <w:rsid w:val="00173545"/>
    <w:rsid w:val="001A5891"/>
    <w:rsid w:val="001B6AD5"/>
    <w:rsid w:val="001C06ED"/>
    <w:rsid w:val="001E25D2"/>
    <w:rsid w:val="001E5955"/>
    <w:rsid w:val="001F4CDC"/>
    <w:rsid w:val="0022161F"/>
    <w:rsid w:val="00243680"/>
    <w:rsid w:val="00264BAB"/>
    <w:rsid w:val="00277595"/>
    <w:rsid w:val="00283D7C"/>
    <w:rsid w:val="00287EA8"/>
    <w:rsid w:val="002E2350"/>
    <w:rsid w:val="002E7712"/>
    <w:rsid w:val="002F08B9"/>
    <w:rsid w:val="0030470E"/>
    <w:rsid w:val="0033750E"/>
    <w:rsid w:val="00353ADC"/>
    <w:rsid w:val="003648CF"/>
    <w:rsid w:val="00395C1A"/>
    <w:rsid w:val="003B4DBE"/>
    <w:rsid w:val="003C4049"/>
    <w:rsid w:val="003E0363"/>
    <w:rsid w:val="00400D37"/>
    <w:rsid w:val="00413A2D"/>
    <w:rsid w:val="00423CF3"/>
    <w:rsid w:val="00435F59"/>
    <w:rsid w:val="004549CD"/>
    <w:rsid w:val="00455715"/>
    <w:rsid w:val="0049202F"/>
    <w:rsid w:val="00495751"/>
    <w:rsid w:val="004A27C0"/>
    <w:rsid w:val="004E0487"/>
    <w:rsid w:val="004E4FD1"/>
    <w:rsid w:val="004F7D77"/>
    <w:rsid w:val="00537B21"/>
    <w:rsid w:val="00571573"/>
    <w:rsid w:val="00583BE4"/>
    <w:rsid w:val="005A0F5B"/>
    <w:rsid w:val="005A4B90"/>
    <w:rsid w:val="005D1179"/>
    <w:rsid w:val="005D3679"/>
    <w:rsid w:val="005E1C20"/>
    <w:rsid w:val="005F13E8"/>
    <w:rsid w:val="005F644C"/>
    <w:rsid w:val="00626898"/>
    <w:rsid w:val="006300B6"/>
    <w:rsid w:val="0068652C"/>
    <w:rsid w:val="006B2FF7"/>
    <w:rsid w:val="006D48FC"/>
    <w:rsid w:val="006D768C"/>
    <w:rsid w:val="006E2BB3"/>
    <w:rsid w:val="006E321B"/>
    <w:rsid w:val="0070199E"/>
    <w:rsid w:val="00711015"/>
    <w:rsid w:val="00721C88"/>
    <w:rsid w:val="00755011"/>
    <w:rsid w:val="007B0678"/>
    <w:rsid w:val="007D0526"/>
    <w:rsid w:val="007F0F69"/>
    <w:rsid w:val="0080373D"/>
    <w:rsid w:val="00825994"/>
    <w:rsid w:val="008334B9"/>
    <w:rsid w:val="008631E1"/>
    <w:rsid w:val="00870990"/>
    <w:rsid w:val="00876CFF"/>
    <w:rsid w:val="00891D5A"/>
    <w:rsid w:val="008920D8"/>
    <w:rsid w:val="00893938"/>
    <w:rsid w:val="008D62D1"/>
    <w:rsid w:val="008E139F"/>
    <w:rsid w:val="00903BA7"/>
    <w:rsid w:val="00907C93"/>
    <w:rsid w:val="0092283A"/>
    <w:rsid w:val="00924814"/>
    <w:rsid w:val="00925759"/>
    <w:rsid w:val="0094025F"/>
    <w:rsid w:val="00961502"/>
    <w:rsid w:val="009669CA"/>
    <w:rsid w:val="00972807"/>
    <w:rsid w:val="009849EB"/>
    <w:rsid w:val="009852EF"/>
    <w:rsid w:val="009B3E2A"/>
    <w:rsid w:val="009D0146"/>
    <w:rsid w:val="009D0A37"/>
    <w:rsid w:val="00A26336"/>
    <w:rsid w:val="00A3763D"/>
    <w:rsid w:val="00A438D9"/>
    <w:rsid w:val="00A55839"/>
    <w:rsid w:val="00A76601"/>
    <w:rsid w:val="00A90B11"/>
    <w:rsid w:val="00AB4CF5"/>
    <w:rsid w:val="00AC42BB"/>
    <w:rsid w:val="00AD48AE"/>
    <w:rsid w:val="00AE08F1"/>
    <w:rsid w:val="00B11C3D"/>
    <w:rsid w:val="00B121A5"/>
    <w:rsid w:val="00B22A4F"/>
    <w:rsid w:val="00B2444F"/>
    <w:rsid w:val="00B33805"/>
    <w:rsid w:val="00B51D32"/>
    <w:rsid w:val="00B6403F"/>
    <w:rsid w:val="00B772EF"/>
    <w:rsid w:val="00BA19E7"/>
    <w:rsid w:val="00BA75F7"/>
    <w:rsid w:val="00BB2C32"/>
    <w:rsid w:val="00BB7A3F"/>
    <w:rsid w:val="00BC1B9C"/>
    <w:rsid w:val="00BD3188"/>
    <w:rsid w:val="00BD778E"/>
    <w:rsid w:val="00BE08DC"/>
    <w:rsid w:val="00BE4DE4"/>
    <w:rsid w:val="00BF7A39"/>
    <w:rsid w:val="00C057AA"/>
    <w:rsid w:val="00C12672"/>
    <w:rsid w:val="00C12998"/>
    <w:rsid w:val="00C1546B"/>
    <w:rsid w:val="00C20E7C"/>
    <w:rsid w:val="00C442B9"/>
    <w:rsid w:val="00C447A0"/>
    <w:rsid w:val="00C51851"/>
    <w:rsid w:val="00C6533D"/>
    <w:rsid w:val="00C76DD3"/>
    <w:rsid w:val="00C76F89"/>
    <w:rsid w:val="00C9246E"/>
    <w:rsid w:val="00C92DC8"/>
    <w:rsid w:val="00CA080E"/>
    <w:rsid w:val="00CA30EF"/>
    <w:rsid w:val="00CA6714"/>
    <w:rsid w:val="00CE67E7"/>
    <w:rsid w:val="00CF45A8"/>
    <w:rsid w:val="00D34D13"/>
    <w:rsid w:val="00D56B40"/>
    <w:rsid w:val="00D57321"/>
    <w:rsid w:val="00D81040"/>
    <w:rsid w:val="00DA4B5A"/>
    <w:rsid w:val="00DB16A7"/>
    <w:rsid w:val="00DB4BEF"/>
    <w:rsid w:val="00DB6C21"/>
    <w:rsid w:val="00DD6575"/>
    <w:rsid w:val="00DE21BB"/>
    <w:rsid w:val="00E07C56"/>
    <w:rsid w:val="00E107C0"/>
    <w:rsid w:val="00E300B9"/>
    <w:rsid w:val="00E30181"/>
    <w:rsid w:val="00E349DF"/>
    <w:rsid w:val="00E536CE"/>
    <w:rsid w:val="00E55C5B"/>
    <w:rsid w:val="00E6795E"/>
    <w:rsid w:val="00E75FA9"/>
    <w:rsid w:val="00EA08A4"/>
    <w:rsid w:val="00EB3510"/>
    <w:rsid w:val="00EC45A7"/>
    <w:rsid w:val="00F174D4"/>
    <w:rsid w:val="00F253EE"/>
    <w:rsid w:val="00F319D0"/>
    <w:rsid w:val="00F326A3"/>
    <w:rsid w:val="00F63A33"/>
    <w:rsid w:val="00F92E2B"/>
    <w:rsid w:val="00FA0405"/>
    <w:rsid w:val="00FC59E1"/>
    <w:rsid w:val="00FE3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80"/>
    <w:pPr>
      <w:widowControl w:val="0"/>
      <w:jc w:val="both"/>
    </w:pPr>
  </w:style>
  <w:style w:type="paragraph" w:styleId="3">
    <w:name w:val="heading 3"/>
    <w:basedOn w:val="a"/>
    <w:link w:val="3Char"/>
    <w:uiPriority w:val="9"/>
    <w:qFormat/>
    <w:rsid w:val="00E349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E349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349DF"/>
    <w:rPr>
      <w:rFonts w:ascii="宋体" w:eastAsia="宋体" w:hAnsi="宋体" w:cs="宋体"/>
      <w:b/>
      <w:bCs/>
      <w:kern w:val="0"/>
      <w:sz w:val="27"/>
      <w:szCs w:val="27"/>
    </w:rPr>
  </w:style>
  <w:style w:type="character" w:customStyle="1" w:styleId="5Char">
    <w:name w:val="标题 5 Char"/>
    <w:basedOn w:val="a0"/>
    <w:link w:val="5"/>
    <w:uiPriority w:val="9"/>
    <w:rsid w:val="00E349DF"/>
    <w:rPr>
      <w:rFonts w:ascii="宋体" w:eastAsia="宋体" w:hAnsi="宋体" w:cs="宋体"/>
      <w:b/>
      <w:bCs/>
      <w:kern w:val="0"/>
      <w:sz w:val="20"/>
      <w:szCs w:val="20"/>
    </w:rPr>
  </w:style>
  <w:style w:type="character" w:styleId="a3">
    <w:name w:val="Hyperlink"/>
    <w:basedOn w:val="a0"/>
    <w:uiPriority w:val="99"/>
    <w:semiHidden/>
    <w:unhideWhenUsed/>
    <w:rsid w:val="00E349DF"/>
    <w:rPr>
      <w:color w:val="0000FF"/>
      <w:u w:val="single"/>
    </w:rPr>
  </w:style>
</w:styles>
</file>

<file path=word/webSettings.xml><?xml version="1.0" encoding="utf-8"?>
<w:webSettings xmlns:r="http://schemas.openxmlformats.org/officeDocument/2006/relationships" xmlns:w="http://schemas.openxmlformats.org/wordprocessingml/2006/main">
  <w:divs>
    <w:div w:id="1172839522">
      <w:bodyDiv w:val="1"/>
      <w:marLeft w:val="0"/>
      <w:marRight w:val="0"/>
      <w:marTop w:val="0"/>
      <w:marBottom w:val="0"/>
      <w:divBdr>
        <w:top w:val="none" w:sz="0" w:space="0" w:color="auto"/>
        <w:left w:val="none" w:sz="0" w:space="0" w:color="auto"/>
        <w:bottom w:val="none" w:sz="0" w:space="0" w:color="auto"/>
        <w:right w:val="none" w:sz="0" w:space="0" w:color="auto"/>
      </w:divBdr>
      <w:divsChild>
        <w:div w:id="317345875">
          <w:marLeft w:val="0"/>
          <w:marRight w:val="0"/>
          <w:marTop w:val="0"/>
          <w:marBottom w:val="0"/>
          <w:divBdr>
            <w:top w:val="none" w:sz="0" w:space="0" w:color="auto"/>
            <w:left w:val="none" w:sz="0" w:space="0" w:color="auto"/>
            <w:bottom w:val="dashed" w:sz="6" w:space="17" w:color="CCCCCC"/>
            <w:right w:val="none" w:sz="0" w:space="0" w:color="auto"/>
          </w:divBdr>
        </w:div>
        <w:div w:id="2074967170">
          <w:marLeft w:val="0"/>
          <w:marRight w:val="0"/>
          <w:marTop w:val="0"/>
          <w:marBottom w:val="0"/>
          <w:divBdr>
            <w:top w:val="none" w:sz="0" w:space="0" w:color="auto"/>
            <w:left w:val="none" w:sz="0" w:space="0" w:color="auto"/>
            <w:bottom w:val="none" w:sz="0" w:space="0" w:color="auto"/>
            <w:right w:val="none" w:sz="0" w:space="0" w:color="auto"/>
          </w:divBdr>
          <w:divsChild>
            <w:div w:id="29499808">
              <w:marLeft w:val="0"/>
              <w:marRight w:val="0"/>
              <w:marTop w:val="272"/>
              <w:marBottom w:val="0"/>
              <w:divBdr>
                <w:top w:val="none" w:sz="0" w:space="0" w:color="auto"/>
                <w:left w:val="none" w:sz="0" w:space="0" w:color="auto"/>
                <w:bottom w:val="none" w:sz="0" w:space="0" w:color="auto"/>
                <w:right w:val="none" w:sz="0" w:space="0" w:color="auto"/>
              </w:divBdr>
              <w:divsChild>
                <w:div w:id="672224088">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2020-01-20T02:18:00Z</dcterms:created>
  <dcterms:modified xsi:type="dcterms:W3CDTF">2020-01-20T02:27:00Z</dcterms:modified>
</cp:coreProperties>
</file>