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lang w:eastAsia="zh-CN"/>
        </w:rPr>
        <w:t>福建省泰宁县文化馆</w:t>
      </w:r>
      <w:r>
        <w:rPr>
          <w:rFonts w:ascii="仿宋_GB2312" w:hAnsi="宋体" w:eastAsia="仿宋_GB2312" w:cs="宋体"/>
          <w:b/>
          <w:color w:val="000000"/>
          <w:kern w:val="0"/>
          <w:sz w:val="32"/>
          <w:szCs w:val="32"/>
        </w:rPr>
        <w:t>预</w:t>
      </w:r>
      <w:r>
        <w:rPr>
          <w:rFonts w:hint="eastAsia" w:ascii="仿宋_GB2312" w:hAnsi="宋体" w:eastAsia="仿宋_GB2312" w:cs="宋体"/>
          <w:b/>
          <w:color w:val="000000"/>
          <w:kern w:val="0"/>
          <w:sz w:val="32"/>
          <w:szCs w:val="32"/>
        </w:rPr>
        <w:t>决算</w:t>
      </w:r>
      <w:r>
        <w:rPr>
          <w:rFonts w:ascii="仿宋_GB2312" w:hAnsi="宋体" w:eastAsia="仿宋_GB2312" w:cs="宋体"/>
          <w:b/>
          <w:color w:val="000000"/>
          <w:kern w:val="0"/>
          <w:sz w:val="32"/>
          <w:szCs w:val="32"/>
        </w:rPr>
        <w:t>公开信息</w:t>
      </w:r>
      <w:r>
        <w:rPr>
          <w:rFonts w:hint="eastAsia" w:ascii="仿宋_GB2312" w:hAnsi="宋体" w:eastAsia="仿宋_GB2312" w:cs="宋体"/>
          <w:b/>
          <w:color w:val="000000"/>
          <w:kern w:val="0"/>
          <w:sz w:val="32"/>
          <w:szCs w:val="32"/>
        </w:rPr>
        <w:t>公</w:t>
      </w:r>
      <w:r>
        <w:rPr>
          <w:rFonts w:ascii="仿宋_GB2312" w:hAnsi="宋体" w:eastAsia="仿宋_GB2312" w:cs="宋体"/>
          <w:b/>
          <w:color w:val="000000"/>
          <w:kern w:val="0"/>
          <w:sz w:val="32"/>
          <w:szCs w:val="32"/>
        </w:rPr>
        <w:t>开管理办法</w:t>
      </w:r>
    </w:p>
    <w:p>
      <w:pPr>
        <w:widowControl/>
        <w:shd w:val="clear" w:color="auto" w:fill="FFFFFF"/>
        <w:spacing w:before="100" w:beforeAutospacing="1" w:after="100" w:afterAutospacing="1"/>
        <w:jc w:val="left"/>
        <w:rPr>
          <w:rFonts w:ascii="宋体" w:hAnsi="宋体" w:eastAsia="宋体" w:cs="宋体"/>
          <w:kern w:val="0"/>
          <w:sz w:val="23"/>
          <w:szCs w:val="23"/>
        </w:rPr>
      </w:pPr>
      <w:r>
        <w:rPr>
          <w:rFonts w:hint="eastAsia" w:ascii="仿宋_GB2312" w:hAnsi="宋体" w:eastAsia="仿宋_GB2312" w:cs="宋体"/>
          <w:b/>
          <w:color w:val="000000"/>
          <w:kern w:val="0"/>
          <w:sz w:val="32"/>
          <w:szCs w:val="32"/>
          <w:lang w:val="en-US" w:eastAsia="zh-CN"/>
        </w:rPr>
        <w:t xml:space="preserve">    </w:t>
      </w:r>
      <w:r>
        <w:rPr>
          <w:rFonts w:hint="eastAsia" w:ascii="仿宋_GB2312" w:hAnsi="宋体" w:eastAsia="仿宋_GB2312" w:cs="宋体"/>
          <w:color w:val="000000"/>
          <w:kern w:val="0"/>
          <w:sz w:val="32"/>
          <w:szCs w:val="32"/>
        </w:rPr>
        <w:t>第一条  为规范预决算信息公开工作，提高预决算透明度，强化社会监督，促进依法理财，根据《泰</w:t>
      </w:r>
      <w:r>
        <w:rPr>
          <w:rFonts w:ascii="仿宋_GB2312" w:hAnsi="宋体" w:eastAsia="仿宋_GB2312" w:cs="宋体"/>
          <w:color w:val="000000"/>
          <w:kern w:val="0"/>
          <w:sz w:val="32"/>
          <w:szCs w:val="32"/>
        </w:rPr>
        <w:t>宁县财政</w:t>
      </w:r>
      <w:r>
        <w:rPr>
          <w:rFonts w:hint="eastAsia" w:ascii="仿宋_GB2312" w:hAnsi="宋体" w:eastAsia="仿宋_GB2312" w:cs="宋体"/>
          <w:color w:val="000000"/>
          <w:kern w:val="0"/>
          <w:sz w:val="32"/>
          <w:szCs w:val="32"/>
        </w:rPr>
        <w:t>局</w:t>
      </w:r>
      <w:r>
        <w:rPr>
          <w:rFonts w:ascii="仿宋_GB2312" w:hAnsi="宋体" w:eastAsia="仿宋_GB2312" w:cs="宋体"/>
          <w:color w:val="000000"/>
          <w:kern w:val="0"/>
          <w:sz w:val="32"/>
          <w:szCs w:val="32"/>
        </w:rPr>
        <w:t>关于预决算公开管理办</w:t>
      </w:r>
      <w:r>
        <w:rPr>
          <w:rFonts w:hint="eastAsia" w:ascii="仿宋_GB2312" w:hAnsi="宋体" w:eastAsia="仿宋_GB2312" w:cs="宋体"/>
          <w:color w:val="000000"/>
          <w:kern w:val="0"/>
          <w:sz w:val="32"/>
          <w:szCs w:val="32"/>
        </w:rPr>
        <w:t>法</w:t>
      </w:r>
      <w:r>
        <w:rPr>
          <w:rFonts w:ascii="仿宋_GB2312" w:hAnsi="宋体" w:eastAsia="仿宋_GB2312" w:cs="宋体"/>
          <w:color w:val="000000"/>
          <w:kern w:val="0"/>
          <w:sz w:val="32"/>
          <w:szCs w:val="32"/>
        </w:rPr>
        <w:t>的通知</w:t>
      </w:r>
      <w:r>
        <w:rPr>
          <w:rFonts w:hint="eastAsia" w:ascii="仿宋_GB2312" w:hAnsi="宋体" w:eastAsia="仿宋_GB2312" w:cs="宋体"/>
          <w:color w:val="000000"/>
          <w:kern w:val="0"/>
          <w:sz w:val="32"/>
          <w:szCs w:val="32"/>
        </w:rPr>
        <w:t>》（泰</w:t>
      </w:r>
      <w:r>
        <w:rPr>
          <w:rFonts w:ascii="仿宋_GB2312" w:hAnsi="宋体" w:eastAsia="仿宋_GB2312" w:cs="宋体"/>
          <w:color w:val="000000"/>
          <w:kern w:val="0"/>
          <w:sz w:val="32"/>
          <w:szCs w:val="32"/>
        </w:rPr>
        <w:t>财预</w:t>
      </w:r>
      <w:r>
        <w:rPr>
          <w:rFonts w:hint="eastAsia" w:ascii="仿宋_GB2312" w:hAnsi="宋体" w:eastAsia="仿宋_GB2312" w:cs="宋体"/>
          <w:color w:val="000000"/>
          <w:kern w:val="0"/>
          <w:sz w:val="32"/>
          <w:szCs w:val="32"/>
        </w:rPr>
        <w:t>[2018]</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号</w:t>
      </w:r>
      <w:r>
        <w:rPr>
          <w:rFonts w:ascii="仿宋_GB2312" w:hAnsi="宋体" w:eastAsia="仿宋_GB2312" w:cs="宋体"/>
          <w:color w:val="000000"/>
          <w:kern w:val="0"/>
          <w:sz w:val="32"/>
          <w:szCs w:val="32"/>
        </w:rPr>
        <w:t>文</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0"/>
          <w:szCs w:val="30"/>
        </w:rPr>
        <w:t>有</w:t>
      </w:r>
      <w:r>
        <w:rPr>
          <w:rFonts w:ascii="仿宋_GB2312" w:hAnsi="宋体" w:eastAsia="仿宋_GB2312" w:cs="宋体"/>
          <w:color w:val="000000"/>
          <w:kern w:val="0"/>
          <w:sz w:val="30"/>
          <w:szCs w:val="30"/>
        </w:rPr>
        <w:t>关</w:t>
      </w:r>
      <w:r>
        <w:rPr>
          <w:rFonts w:hint="eastAsia" w:ascii="仿宋_GB2312" w:hAnsi="宋体" w:eastAsia="仿宋_GB2312" w:cs="宋体"/>
          <w:color w:val="000000"/>
          <w:kern w:val="0"/>
          <w:sz w:val="30"/>
          <w:szCs w:val="30"/>
          <w:lang w:eastAsia="zh-CN"/>
        </w:rPr>
        <w:t>规</w:t>
      </w:r>
      <w:r>
        <w:rPr>
          <w:rFonts w:ascii="仿宋_GB2312" w:hAnsi="宋体" w:eastAsia="仿宋_GB2312" w:cs="宋体"/>
          <w:color w:val="000000"/>
          <w:kern w:val="0"/>
          <w:sz w:val="30"/>
          <w:szCs w:val="30"/>
        </w:rPr>
        <w:t>定</w:t>
      </w:r>
      <w:r>
        <w:rPr>
          <w:rFonts w:hint="eastAsia" w:ascii="仿宋_GB2312" w:hAnsi="宋体" w:eastAsia="仿宋_GB2312" w:cs="宋体"/>
          <w:color w:val="000000"/>
          <w:kern w:val="0"/>
          <w:sz w:val="30"/>
          <w:szCs w:val="30"/>
        </w:rPr>
        <w:t>，结合</w:t>
      </w:r>
      <w:r>
        <w:rPr>
          <w:rFonts w:hint="eastAsia" w:ascii="仿宋_GB2312" w:hAnsi="宋体" w:eastAsia="仿宋_GB2312" w:cs="宋体"/>
          <w:color w:val="000000"/>
          <w:kern w:val="0"/>
          <w:sz w:val="32"/>
          <w:szCs w:val="32"/>
        </w:rPr>
        <w:t>本单位工作实际，制定本办法。</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第二条  本办法所称预决算信息包括预算收支安排、部门决算等管理信息。</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第三条  预决算信息以公开为常态，不公开为例外。预决算信息公开遵循依法依规、真实准确、积极稳妥、分级负责的原则。</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第四条　本单位负责本级预决算信息公开工作，履行下列职责：</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（一）制定本单位预决算信息公开的工作方案；</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（二）按规定公开本单位预决算信息；</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（三）按规定做好公民、法人或者其他组织依申请公开部门预决算信息的答复工作；</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（四）法律、法规、规章规定的其他职责。</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第五条</w:t>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预决算信息公开流程：</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lang w:eastAsia="zh-CN"/>
        </w:rPr>
        <w:t>泰宁县文化馆</w:t>
      </w:r>
      <w:r>
        <w:rPr>
          <w:rFonts w:hint="eastAsia" w:ascii="仿宋_GB2312" w:hAnsi="宋体" w:eastAsia="仿宋_GB2312" w:cs="宋体"/>
          <w:color w:val="000000"/>
          <w:kern w:val="0"/>
          <w:sz w:val="32"/>
          <w:szCs w:val="32"/>
        </w:rPr>
        <w:t>办公室负责本单位预决算信息公开工作，经主要领导审签同意后对外公开。</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第六条</w:t>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预算信息（涉密信息除外）公开内容包括：</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（一）本单位概况。包括：单位职责、机构设置、编制现状、年度主要工作任务及目标、单位收支预算编制的相关依据及测算分析情况；</w:t>
      </w:r>
      <w:r>
        <w:rPr>
          <w:rFonts w:ascii="宋体" w:hAnsi="宋体" w:eastAsia="宋体" w:cs="宋体"/>
          <w:kern w:val="0"/>
          <w:sz w:val="23"/>
          <w:szCs w:val="23"/>
        </w:rPr>
        <w:t xml:space="preserve"> </w:t>
      </w:r>
    </w:p>
    <w:p>
      <w:pPr>
        <w:spacing w:line="560" w:lineRule="exact"/>
        <w:ind w:firstLine="684"/>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（二）预算表。包括：</w:t>
      </w:r>
      <w:r>
        <w:rPr>
          <w:rFonts w:hint="eastAsia" w:ascii="仿宋_GB2312" w:eastAsia="仿宋_GB2312"/>
          <w:color w:val="000000"/>
          <w:sz w:val="32"/>
          <w:szCs w:val="32"/>
        </w:rPr>
        <w:t>收支预算总表、财政拨款支出预算表（按功能分类到项级）、财政拨款基本支出预算表（按经济分类到款级）、一般公共预算单位运行经费预算表、财政拨款政府性基金支出预算表、</w:t>
      </w:r>
      <w:r>
        <w:rPr>
          <w:rFonts w:hint="eastAsia"/>
          <w:color w:val="000000"/>
          <w:sz w:val="32"/>
          <w:szCs w:val="32"/>
        </w:rPr>
        <w:t>“</w:t>
      </w:r>
      <w:r>
        <w:rPr>
          <w:rFonts w:hint="eastAsia" w:ascii="仿宋_GB2312" w:eastAsia="仿宋_GB2312"/>
          <w:color w:val="000000"/>
          <w:sz w:val="32"/>
          <w:szCs w:val="32"/>
        </w:rPr>
        <w:t>三公</w:t>
      </w:r>
      <w:r>
        <w:rPr>
          <w:rFonts w:hint="eastAsia"/>
          <w:color w:val="000000"/>
          <w:sz w:val="32"/>
          <w:szCs w:val="32"/>
        </w:rPr>
        <w:t>”</w:t>
      </w:r>
      <w:r>
        <w:rPr>
          <w:rFonts w:hint="eastAsia" w:ascii="仿宋_GB2312" w:eastAsia="仿宋_GB2312"/>
          <w:color w:val="000000"/>
          <w:sz w:val="32"/>
          <w:szCs w:val="32"/>
        </w:rPr>
        <w:t>经费、会议费、培训费支出预算表、政府采购预算表、</w:t>
      </w:r>
      <w:r>
        <w:rPr>
          <w:rFonts w:ascii="仿宋_GB2312" w:eastAsia="仿宋_GB2312"/>
          <w:color w:val="000000"/>
          <w:sz w:val="32"/>
          <w:szCs w:val="32"/>
        </w:rPr>
        <w:t>绩效目</w:t>
      </w:r>
      <w:r>
        <w:rPr>
          <w:rFonts w:hint="eastAsia" w:ascii="仿宋_GB2312" w:eastAsia="仿宋_GB2312"/>
          <w:color w:val="000000"/>
          <w:sz w:val="32"/>
          <w:szCs w:val="32"/>
        </w:rPr>
        <w:t>标</w:t>
      </w:r>
      <w:r>
        <w:rPr>
          <w:rFonts w:ascii="仿宋_GB2312" w:eastAsia="仿宋_GB2312"/>
          <w:color w:val="000000"/>
          <w:sz w:val="32"/>
          <w:szCs w:val="32"/>
        </w:rPr>
        <w:t>表等</w:t>
      </w:r>
      <w:r>
        <w:rPr>
          <w:rFonts w:hint="eastAsia" w:ascii="仿宋_GB2312" w:eastAsia="仿宋_GB2312"/>
          <w:color w:val="000000"/>
          <w:sz w:val="32"/>
          <w:szCs w:val="32"/>
        </w:rPr>
        <w:t>；</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kern w:val="0"/>
          <w:sz w:val="32"/>
          <w:szCs w:val="32"/>
        </w:rPr>
        <w:t>（三）预算安排情况说明。包括单位年度收支预算、机关运行经费、</w:t>
      </w:r>
      <w:r>
        <w:rPr>
          <w:rFonts w:hint="eastAsia" w:ascii="宋体" w:hAnsi="宋体" w:eastAsia="宋体" w:cs="宋体"/>
          <w:kern w:val="0"/>
          <w:sz w:val="32"/>
          <w:szCs w:val="32"/>
        </w:rPr>
        <w:t>“</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会议费、培训费等预算安排情况，对增减变化原因进行说明。对重大项目资金安排或可能引起社会公众关注的预算安排，结合工作任务和事业发展目标加以阐述；对重要指标进行上下年度的比较和分析；对各政府采购项目应就项目用途、采购方式进行说明等；</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kern w:val="0"/>
          <w:sz w:val="32"/>
          <w:szCs w:val="32"/>
        </w:rPr>
        <w:t>（四）名词解释。对部门预算相关专业名词进行解释说明。</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kern w:val="0"/>
          <w:sz w:val="32"/>
          <w:szCs w:val="32"/>
        </w:rPr>
        <w:t>第七条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决算信息（涉密信息除外）公开内容包括：</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kern w:val="0"/>
          <w:sz w:val="32"/>
          <w:szCs w:val="32"/>
        </w:rPr>
        <w:t>（一）单位概况。包括：单位主要职能、部门决算单位构成情况、当年度单位主要工作完成情况。</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kern w:val="0"/>
          <w:sz w:val="32"/>
          <w:szCs w:val="32"/>
        </w:rPr>
        <w:t>（二）决算表。包括：收支决算总表、财政拨款支出决算表（按功能分类到项级）、财政拨款基本支出决算表（按经济分类到款级）、一般公共预算机关运行经费决算表、政府性基金预算财政拨款收支决算表、</w:t>
      </w:r>
      <w:r>
        <w:rPr>
          <w:rFonts w:hint="eastAsia" w:ascii="宋体" w:hAnsi="宋体" w:eastAsia="宋体" w:cs="宋体"/>
          <w:kern w:val="0"/>
          <w:sz w:val="32"/>
          <w:szCs w:val="32"/>
        </w:rPr>
        <w:t>“</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经费、会议费、培训费支出决算表、政府采购决算表、</w:t>
      </w:r>
      <w:r>
        <w:rPr>
          <w:rFonts w:ascii="仿宋_GB2312" w:eastAsia="仿宋_GB2312"/>
          <w:color w:val="000000"/>
          <w:sz w:val="32"/>
          <w:szCs w:val="32"/>
        </w:rPr>
        <w:t>绩效目</w:t>
      </w:r>
      <w:r>
        <w:rPr>
          <w:rFonts w:hint="eastAsia" w:ascii="仿宋_GB2312" w:eastAsia="仿宋_GB2312"/>
          <w:color w:val="000000"/>
          <w:sz w:val="32"/>
          <w:szCs w:val="32"/>
        </w:rPr>
        <w:t>标</w:t>
      </w:r>
      <w:r>
        <w:rPr>
          <w:rFonts w:ascii="仿宋_GB2312" w:eastAsia="仿宋_GB2312"/>
          <w:color w:val="000000"/>
          <w:sz w:val="32"/>
          <w:szCs w:val="32"/>
        </w:rPr>
        <w:t>表等</w:t>
      </w:r>
      <w:r>
        <w:rPr>
          <w:rFonts w:hint="eastAsia" w:ascii="仿宋_GB2312" w:eastAsia="仿宋_GB2312"/>
          <w:color w:val="000000"/>
          <w:sz w:val="32"/>
          <w:szCs w:val="32"/>
        </w:rPr>
        <w:t>。</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kern w:val="0"/>
          <w:sz w:val="32"/>
          <w:szCs w:val="32"/>
        </w:rPr>
        <w:t>（三）单位决算情况说明。包括：决算年度收支情况、财政拨款预算执行情况和</w:t>
      </w:r>
      <w:r>
        <w:rPr>
          <w:rFonts w:hint="eastAsia" w:ascii="宋体" w:hAnsi="宋体" w:eastAsia="宋体" w:cs="宋体"/>
          <w:kern w:val="0"/>
          <w:sz w:val="32"/>
          <w:szCs w:val="32"/>
        </w:rPr>
        <w:t> “</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经费、会议费、培训费、机关运行经费、政府采购支出决算情况等；</w:t>
      </w:r>
      <w:r>
        <w:rPr>
          <w:rFonts w:hint="eastAsia" w:ascii="宋体" w:hAnsi="宋体" w:eastAsia="宋体" w:cs="宋体"/>
          <w:kern w:val="0"/>
          <w:sz w:val="32"/>
          <w:szCs w:val="32"/>
        </w:rPr>
        <w:t>“</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经费决算公开要说明因公出国（境）团组数及人数，公务用车购置数及保有量，国内公务接待的批次、人数、经费总额以及</w:t>
      </w:r>
      <w:r>
        <w:rPr>
          <w:rFonts w:hint="eastAsia" w:ascii="宋体" w:hAnsi="宋体" w:eastAsia="宋体" w:cs="宋体"/>
          <w:kern w:val="0"/>
          <w:sz w:val="32"/>
          <w:szCs w:val="32"/>
        </w:rPr>
        <w:t>“</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经费增减变化原因等情况；会议费、培训费决算公开要说明召开会议和组织培训的次数和人数等相关明细信息。</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kern w:val="0"/>
          <w:sz w:val="32"/>
          <w:szCs w:val="32"/>
        </w:rPr>
        <w:t>（四）名称解释。主要对单位公开决算表中的相关专业名称进行解释说明。</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3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第八条</w:t>
      </w:r>
      <w:r>
        <w:rPr>
          <w:rFonts w:ascii="宋体" w:hAnsi="宋体" w:eastAsia="宋体" w:cs="宋体"/>
          <w:color w:val="000000"/>
          <w:kern w:val="0"/>
          <w:sz w:val="32"/>
          <w:szCs w:val="32"/>
        </w:rPr>
        <w:t> </w:t>
      </w:r>
      <w:r>
        <w:rPr>
          <w:rFonts w:hint="eastAsia" w:ascii="仿宋_GB2312" w:hAnsi="宋体" w:eastAsia="仿宋_GB2312" w:cs="宋体"/>
          <w:color w:val="000000"/>
          <w:kern w:val="0"/>
          <w:sz w:val="32"/>
          <w:szCs w:val="32"/>
        </w:rPr>
        <w:t>经县政府财政部门批复的部门预算、决算及报表，应当在批复后20日内由</w:t>
      </w:r>
      <w:r>
        <w:rPr>
          <w:rFonts w:hint="eastAsia" w:ascii="仿宋_GB2312" w:hAnsi="宋体" w:eastAsia="仿宋_GB2312" w:cs="宋体"/>
          <w:color w:val="000000"/>
          <w:kern w:val="0"/>
          <w:sz w:val="32"/>
          <w:szCs w:val="32"/>
          <w:lang w:eastAsia="zh-CN"/>
        </w:rPr>
        <w:t>泰宁县文化馆</w:t>
      </w:r>
      <w:r>
        <w:rPr>
          <w:rFonts w:hint="eastAsia" w:ascii="仿宋_GB2312" w:hAnsi="宋体" w:eastAsia="仿宋_GB2312" w:cs="宋体"/>
          <w:color w:val="000000"/>
          <w:kern w:val="0"/>
          <w:sz w:val="32"/>
          <w:szCs w:val="32"/>
        </w:rPr>
        <w:t>负责向社会公开。</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4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第九条</w:t>
      </w:r>
      <w:r>
        <w:rPr>
          <w:rFonts w:ascii="宋体" w:hAnsi="宋体" w:eastAsia="宋体" w:cs="宋体"/>
          <w:color w:val="000000"/>
          <w:kern w:val="0"/>
          <w:sz w:val="32"/>
          <w:szCs w:val="32"/>
        </w:rPr>
        <w:t> </w:t>
      </w:r>
      <w:r>
        <w:rPr>
          <w:rFonts w:hint="eastAsia" w:ascii="仿宋_GB2312" w:hAnsi="宋体" w:eastAsia="仿宋_GB2312" w:cs="宋体"/>
          <w:color w:val="000000"/>
          <w:kern w:val="0"/>
          <w:sz w:val="32"/>
          <w:szCs w:val="32"/>
        </w:rPr>
        <w:t>预决算信息在</w:t>
      </w:r>
      <w:r>
        <w:rPr>
          <w:rFonts w:hint="eastAsia" w:ascii="仿宋_GB2312" w:hAnsi="宋体" w:eastAsia="仿宋_GB2312" w:cs="宋体"/>
          <w:color w:val="000000"/>
          <w:kern w:val="0"/>
          <w:sz w:val="32"/>
          <w:szCs w:val="32"/>
          <w:lang w:eastAsia="zh-CN"/>
        </w:rPr>
        <w:t>泰宁县政府</w:t>
      </w:r>
      <w:r>
        <w:rPr>
          <w:rFonts w:hint="eastAsia" w:ascii="仿宋_GB2312" w:hAnsi="宋体" w:eastAsia="仿宋_GB2312" w:cs="宋体"/>
          <w:color w:val="000000"/>
          <w:kern w:val="0"/>
          <w:sz w:val="32"/>
          <w:szCs w:val="32"/>
        </w:rPr>
        <w:t>门户网站公开，并长期保留。</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4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第十条  严格按照《中华人民共和国保密法》以及其他法律法规和有关规定，做好定密、解密工作。按照保密要求，做好信息公开的保密审查工作，确保审查程序规范，审查责任明确。</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4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第十一条</w:t>
      </w:r>
      <w:r>
        <w:rPr>
          <w:rFonts w:ascii="宋体" w:hAnsi="宋体" w:eastAsia="宋体" w:cs="宋体"/>
          <w:color w:val="000000"/>
          <w:kern w:val="0"/>
          <w:sz w:val="32"/>
          <w:szCs w:val="32"/>
        </w:rPr>
        <w:t> </w:t>
      </w:r>
      <w:r>
        <w:rPr>
          <w:rFonts w:hint="eastAsia" w:ascii="仿宋_GB2312" w:hAnsi="宋体" w:eastAsia="仿宋_GB2312" w:cs="宋体"/>
          <w:color w:val="000000"/>
          <w:kern w:val="0"/>
          <w:sz w:val="32"/>
          <w:szCs w:val="32"/>
          <w:lang w:eastAsia="zh-CN"/>
        </w:rPr>
        <w:t>泰宁县文化馆</w:t>
      </w:r>
      <w:r>
        <w:rPr>
          <w:rFonts w:hint="eastAsia" w:ascii="仿宋_GB2312" w:hAnsi="宋体" w:eastAsia="仿宋_GB2312" w:cs="宋体"/>
          <w:color w:val="000000"/>
          <w:kern w:val="0"/>
          <w:sz w:val="32"/>
          <w:szCs w:val="32"/>
        </w:rPr>
        <w:t>要按照《泰</w:t>
      </w:r>
      <w:r>
        <w:rPr>
          <w:rFonts w:ascii="仿宋_GB2312" w:hAnsi="宋体" w:eastAsia="仿宋_GB2312" w:cs="宋体"/>
          <w:color w:val="000000"/>
          <w:kern w:val="0"/>
          <w:sz w:val="32"/>
          <w:szCs w:val="32"/>
        </w:rPr>
        <w:t>宁县财政</w:t>
      </w:r>
      <w:r>
        <w:rPr>
          <w:rFonts w:hint="eastAsia" w:ascii="仿宋_GB2312" w:hAnsi="宋体" w:eastAsia="仿宋_GB2312" w:cs="宋体"/>
          <w:color w:val="000000"/>
          <w:kern w:val="0"/>
          <w:sz w:val="32"/>
          <w:szCs w:val="32"/>
        </w:rPr>
        <w:t>局</w:t>
      </w:r>
      <w:r>
        <w:rPr>
          <w:rFonts w:ascii="仿宋_GB2312" w:hAnsi="宋体" w:eastAsia="仿宋_GB2312" w:cs="宋体"/>
          <w:color w:val="000000"/>
          <w:kern w:val="0"/>
          <w:sz w:val="32"/>
          <w:szCs w:val="32"/>
        </w:rPr>
        <w:t>关于预决算公开管理办</w:t>
      </w:r>
      <w:r>
        <w:rPr>
          <w:rFonts w:hint="eastAsia" w:ascii="仿宋_GB2312" w:hAnsi="宋体" w:eastAsia="仿宋_GB2312" w:cs="宋体"/>
          <w:color w:val="000000"/>
          <w:kern w:val="0"/>
          <w:sz w:val="32"/>
          <w:szCs w:val="32"/>
        </w:rPr>
        <w:t>法</w:t>
      </w:r>
      <w:r>
        <w:rPr>
          <w:rFonts w:ascii="仿宋_GB2312" w:hAnsi="宋体" w:eastAsia="仿宋_GB2312" w:cs="宋体"/>
          <w:color w:val="000000"/>
          <w:kern w:val="0"/>
          <w:sz w:val="32"/>
          <w:szCs w:val="32"/>
        </w:rPr>
        <w:t>的通知</w:t>
      </w:r>
      <w:r>
        <w:rPr>
          <w:rFonts w:hint="eastAsia" w:ascii="仿宋_GB2312" w:hAnsi="宋体" w:eastAsia="仿宋_GB2312" w:cs="宋体"/>
          <w:color w:val="000000"/>
          <w:kern w:val="0"/>
          <w:sz w:val="32"/>
          <w:szCs w:val="32"/>
        </w:rPr>
        <w:t>》（泰</w:t>
      </w:r>
      <w:r>
        <w:rPr>
          <w:rFonts w:ascii="仿宋_GB2312" w:hAnsi="宋体" w:eastAsia="仿宋_GB2312" w:cs="宋体"/>
          <w:color w:val="000000"/>
          <w:kern w:val="0"/>
          <w:sz w:val="32"/>
          <w:szCs w:val="32"/>
        </w:rPr>
        <w:t>财预</w:t>
      </w:r>
      <w:r>
        <w:rPr>
          <w:rFonts w:hint="eastAsia" w:ascii="仿宋_GB2312" w:hAnsi="宋体" w:eastAsia="仿宋_GB2312" w:cs="宋体"/>
          <w:color w:val="000000"/>
          <w:kern w:val="0"/>
          <w:sz w:val="32"/>
          <w:szCs w:val="32"/>
        </w:rPr>
        <w:t>[2018]</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号</w:t>
      </w:r>
      <w:r>
        <w:rPr>
          <w:rFonts w:ascii="仿宋_GB2312" w:hAnsi="宋体" w:eastAsia="仿宋_GB2312" w:cs="宋体"/>
          <w:color w:val="000000"/>
          <w:kern w:val="0"/>
          <w:sz w:val="32"/>
          <w:szCs w:val="32"/>
        </w:rPr>
        <w:t>文</w:t>
      </w:r>
      <w:r>
        <w:rPr>
          <w:rFonts w:hint="eastAsia" w:ascii="仿宋_GB2312" w:hAnsi="宋体" w:eastAsia="仿宋_GB2312" w:cs="宋体"/>
          <w:color w:val="000000"/>
          <w:kern w:val="0"/>
          <w:sz w:val="32"/>
          <w:szCs w:val="32"/>
        </w:rPr>
        <w:t>）等规定要求，做好预决算信息依申请公开工作，主动回应社会普遍关注的情况，及时解疑释惑，避免社会公众误解，密切关注工作中反映的问题，认真研究整改。</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40"/>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第十二条</w:t>
      </w:r>
      <w:r>
        <w:rPr>
          <w:rFonts w:ascii="宋体" w:hAnsi="宋体" w:eastAsia="宋体" w:cs="宋体"/>
          <w:color w:val="000000"/>
          <w:kern w:val="0"/>
          <w:sz w:val="32"/>
          <w:szCs w:val="32"/>
        </w:rPr>
        <w:t> </w:t>
      </w:r>
      <w:r>
        <w:rPr>
          <w:rFonts w:hint="eastAsia" w:ascii="仿宋_GB2312" w:hAnsi="宋体" w:eastAsia="仿宋_GB2312" w:cs="宋体"/>
          <w:color w:val="000000"/>
          <w:kern w:val="0"/>
          <w:sz w:val="32"/>
          <w:szCs w:val="32"/>
        </w:rPr>
        <w:t>涉及依申请公开事项，严格按照《政府信息公开条例》规定依法受理，对申请内容进行认真分析与研究，按照县政府信息依申请公开有关要求，严密工作流程，以规范的格式进行答复。</w:t>
      </w:r>
      <w:r>
        <w:rPr>
          <w:rFonts w:ascii="宋体" w:hAnsi="宋体" w:eastAsia="宋体" w:cs="宋体"/>
          <w:kern w:val="0"/>
          <w:sz w:val="23"/>
          <w:szCs w:val="23"/>
        </w:rPr>
        <w:t xml:space="preserve"> </w:t>
      </w:r>
    </w:p>
    <w:p>
      <w:pPr>
        <w:widowControl/>
        <w:shd w:val="clear" w:color="auto" w:fill="FFFFFF"/>
        <w:spacing w:before="100" w:beforeAutospacing="1" w:after="100" w:afterAutospacing="1"/>
        <w:ind w:firstLine="640"/>
        <w:rPr>
          <w:rFonts w:ascii="宋体" w:hAnsi="宋体" w:eastAsia="宋体" w:cs="宋体"/>
          <w:kern w:val="0"/>
          <w:sz w:val="23"/>
          <w:szCs w:val="23"/>
        </w:rPr>
      </w:pPr>
      <w:r>
        <w:rPr>
          <w:rFonts w:hint="eastAsia" w:ascii="仿宋_GB2312" w:hAnsi="宋体" w:eastAsia="仿宋_GB2312" w:cs="宋体"/>
          <w:color w:val="000000"/>
          <w:kern w:val="0"/>
          <w:sz w:val="32"/>
          <w:szCs w:val="32"/>
        </w:rPr>
        <w:t>第十三条</w:t>
      </w:r>
      <w:r>
        <w:rPr>
          <w:rFonts w:ascii="宋体" w:hAnsi="宋体" w:eastAsia="宋体" w:cs="宋体"/>
          <w:color w:val="000000"/>
          <w:kern w:val="0"/>
          <w:sz w:val="32"/>
          <w:szCs w:val="32"/>
        </w:rPr>
        <w:t> </w:t>
      </w:r>
      <w:r>
        <w:rPr>
          <w:rFonts w:hint="eastAsia" w:ascii="仿宋_GB2312" w:hAnsi="宋体" w:eastAsia="仿宋_GB2312" w:cs="宋体"/>
          <w:color w:val="000000"/>
          <w:kern w:val="0"/>
          <w:sz w:val="32"/>
          <w:szCs w:val="32"/>
        </w:rPr>
        <w:t>本办法自201</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年1月</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日起实行。</w:t>
      </w:r>
      <w:r>
        <w:rPr>
          <w:rFonts w:ascii="宋体" w:hAnsi="宋体" w:eastAsia="宋体" w:cs="宋体"/>
          <w:kern w:val="0"/>
          <w:sz w:val="23"/>
          <w:szCs w:val="23"/>
        </w:rPr>
        <w:t xml:space="preserve"> </w:t>
      </w:r>
    </w:p>
    <w:p>
      <w:pPr>
        <w:widowControl/>
        <w:shd w:val="clear" w:color="auto" w:fill="FFFFFF"/>
        <w:spacing w:before="100" w:beforeAutospacing="1" w:after="100" w:afterAutospacing="1"/>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 </w:t>
      </w:r>
      <w:r>
        <w:rPr>
          <w:rFonts w:ascii="宋体" w:hAnsi="宋体" w:eastAsia="宋体" w:cs="宋体"/>
          <w:kern w:val="0"/>
          <w:sz w:val="23"/>
          <w:szCs w:val="23"/>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80"/>
    <w:rsid w:val="000E2497"/>
    <w:rsid w:val="000E315E"/>
    <w:rsid w:val="00201BBF"/>
    <w:rsid w:val="002675DB"/>
    <w:rsid w:val="002B1801"/>
    <w:rsid w:val="002F1EC3"/>
    <w:rsid w:val="003921B1"/>
    <w:rsid w:val="004C088E"/>
    <w:rsid w:val="004C5008"/>
    <w:rsid w:val="00580FA9"/>
    <w:rsid w:val="005E1EDF"/>
    <w:rsid w:val="005F71E1"/>
    <w:rsid w:val="00653815"/>
    <w:rsid w:val="00736B80"/>
    <w:rsid w:val="007B22D8"/>
    <w:rsid w:val="00984DB7"/>
    <w:rsid w:val="00AF7BDF"/>
    <w:rsid w:val="00B3104E"/>
    <w:rsid w:val="00D54157"/>
    <w:rsid w:val="00DF7756"/>
    <w:rsid w:val="00FD37A8"/>
    <w:rsid w:val="00FD7178"/>
    <w:rsid w:val="5131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Words>
  <Characters>1381</Characters>
  <Lines>11</Lines>
  <Paragraphs>3</Paragraphs>
  <TotalTime>26</TotalTime>
  <ScaleCrop>false</ScaleCrop>
  <LinksUpToDate>false</LinksUpToDate>
  <CharactersWithSpaces>1620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2019-01-19T03:07:00Z</dcterms:created>
  <dc:creator>Tntv</dc:creator>
  <cp:lastModifiedBy>Administrator</cp:lastModifiedBy>
  <dcterms:modified xsi:type="dcterms:W3CDTF">2019-01-28T07:31:58Z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