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A47" w:rsidRPr="002675DB" w:rsidRDefault="00A26A47" w:rsidP="002675DB">
      <w:pPr>
        <w:widowControl/>
        <w:shd w:val="clear" w:color="auto" w:fill="FFFFFF"/>
        <w:spacing w:before="100" w:beforeAutospacing="1" w:after="100" w:afterAutospacing="1"/>
        <w:jc w:val="center"/>
        <w:rPr>
          <w:rFonts w:ascii="仿宋_GB2312" w:eastAsia="仿宋_GB2312" w:hAnsi="宋体" w:cs="宋体"/>
          <w:b/>
          <w:color w:val="000000"/>
          <w:kern w:val="0"/>
          <w:sz w:val="32"/>
          <w:szCs w:val="32"/>
        </w:rPr>
      </w:pPr>
      <w:r w:rsidRPr="002675DB">
        <w:rPr>
          <w:rFonts w:ascii="仿宋_GB2312" w:eastAsia="仿宋_GB2312" w:hAnsi="宋体" w:cs="宋体" w:hint="eastAsia"/>
          <w:b/>
          <w:color w:val="000000"/>
          <w:kern w:val="0"/>
          <w:sz w:val="32"/>
          <w:szCs w:val="32"/>
        </w:rPr>
        <w:t>泰宁县</w:t>
      </w:r>
      <w:r w:rsidR="00B55729">
        <w:rPr>
          <w:rFonts w:ascii="仿宋_GB2312" w:eastAsia="仿宋_GB2312" w:hAnsi="宋体" w:cs="宋体" w:hint="eastAsia"/>
          <w:b/>
          <w:color w:val="000000"/>
          <w:kern w:val="0"/>
          <w:sz w:val="32"/>
          <w:szCs w:val="32"/>
        </w:rPr>
        <w:t>融</w:t>
      </w:r>
      <w:r w:rsidR="00B55729">
        <w:rPr>
          <w:rFonts w:ascii="仿宋_GB2312" w:eastAsia="仿宋_GB2312" w:hAnsi="宋体" w:cs="宋体"/>
          <w:b/>
          <w:color w:val="000000"/>
          <w:kern w:val="0"/>
          <w:sz w:val="32"/>
          <w:szCs w:val="32"/>
        </w:rPr>
        <w:t>媒体中心</w:t>
      </w:r>
      <w:r w:rsidRPr="002675DB">
        <w:rPr>
          <w:rFonts w:ascii="仿宋_GB2312" w:eastAsia="仿宋_GB2312" w:hAnsi="宋体" w:cs="宋体" w:hint="eastAsia"/>
          <w:b/>
          <w:color w:val="000000"/>
          <w:kern w:val="0"/>
          <w:sz w:val="32"/>
          <w:szCs w:val="32"/>
        </w:rPr>
        <w:t>预决算信息公开管理办法</w:t>
      </w:r>
    </w:p>
    <w:p w:rsidR="00A26A47" w:rsidRPr="006948A9" w:rsidRDefault="00A26A47" w:rsidP="00AF7BDF">
      <w:pPr>
        <w:spacing w:line="780" w:lineRule="exact"/>
        <w:jc w:val="center"/>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 xml:space="preserve">  </w:t>
      </w:r>
      <w:r w:rsidRPr="006948A9">
        <w:rPr>
          <w:rFonts w:ascii="仿宋_GB2312" w:eastAsia="仿宋_GB2312" w:hAnsi="宋体" w:cs="宋体"/>
          <w:color w:val="000000"/>
          <w:kern w:val="0"/>
          <w:sz w:val="32"/>
          <w:szCs w:val="32"/>
        </w:rPr>
        <w:t xml:space="preserve">  </w:t>
      </w:r>
      <w:r w:rsidRPr="006948A9">
        <w:rPr>
          <w:rFonts w:ascii="仿宋_GB2312" w:eastAsia="仿宋_GB2312" w:hAnsi="宋体" w:cs="宋体" w:hint="eastAsia"/>
          <w:color w:val="000000"/>
          <w:kern w:val="0"/>
          <w:sz w:val="32"/>
          <w:szCs w:val="32"/>
        </w:rPr>
        <w:t>第一条</w:t>
      </w:r>
      <w:r w:rsidRPr="006948A9">
        <w:rPr>
          <w:rFonts w:ascii="仿宋_GB2312" w:eastAsia="仿宋_GB2312" w:hAnsi="宋体" w:cs="宋体"/>
          <w:color w:val="000000"/>
          <w:kern w:val="0"/>
          <w:sz w:val="32"/>
          <w:szCs w:val="32"/>
        </w:rPr>
        <w:t> </w:t>
      </w:r>
      <w:r w:rsidRPr="006948A9">
        <w:rPr>
          <w:rFonts w:ascii="仿宋_GB2312" w:eastAsia="仿宋_GB2312" w:hAnsi="宋体" w:cs="宋体"/>
          <w:color w:val="000000"/>
          <w:kern w:val="0"/>
          <w:sz w:val="32"/>
          <w:szCs w:val="32"/>
        </w:rPr>
        <w:t xml:space="preserve"> </w:t>
      </w:r>
      <w:r w:rsidRPr="006948A9">
        <w:rPr>
          <w:rFonts w:ascii="仿宋_GB2312" w:eastAsia="仿宋_GB2312" w:hAnsi="宋体" w:cs="宋体" w:hint="eastAsia"/>
          <w:color w:val="000000"/>
          <w:kern w:val="0"/>
          <w:sz w:val="32"/>
          <w:szCs w:val="32"/>
        </w:rPr>
        <w:t>为规范预决算信息公开工作，</w:t>
      </w:r>
      <w:r w:rsidR="00606C15">
        <w:rPr>
          <w:rFonts w:ascii="仿宋_GB2312" w:eastAsia="仿宋_GB2312" w:hAnsi="宋体" w:cs="宋体" w:hint="eastAsia"/>
          <w:color w:val="000000"/>
          <w:kern w:val="0"/>
          <w:sz w:val="32"/>
          <w:szCs w:val="32"/>
        </w:rPr>
        <w:t>提高预决算透明度，强化社会监督，促进依法理财，根据《泰宁县财政</w:t>
      </w:r>
      <w:r w:rsidRPr="006948A9">
        <w:rPr>
          <w:rFonts w:ascii="仿宋_GB2312" w:eastAsia="仿宋_GB2312" w:hAnsi="宋体" w:cs="宋体" w:hint="eastAsia"/>
          <w:color w:val="000000"/>
          <w:kern w:val="0"/>
          <w:sz w:val="32"/>
          <w:szCs w:val="32"/>
        </w:rPr>
        <w:t>关</w:t>
      </w:r>
    </w:p>
    <w:p w:rsidR="00A26A47" w:rsidRPr="006948A9" w:rsidRDefault="00A26A47" w:rsidP="006948A9">
      <w:pPr>
        <w:spacing w:line="780" w:lineRule="exact"/>
        <w:rPr>
          <w:rFonts w:ascii="仿宋_GB2312" w:eastAsia="仿宋_GB2312" w:hAnsi="黑体"/>
          <w:b/>
          <w:sz w:val="30"/>
          <w:szCs w:val="30"/>
        </w:rPr>
      </w:pPr>
      <w:r w:rsidRPr="006948A9">
        <w:rPr>
          <w:rFonts w:ascii="仿宋_GB2312" w:eastAsia="仿宋_GB2312" w:hAnsi="宋体" w:cs="宋体" w:hint="eastAsia"/>
          <w:color w:val="000000"/>
          <w:kern w:val="0"/>
          <w:sz w:val="32"/>
          <w:szCs w:val="32"/>
        </w:rPr>
        <w:t>于预决算公开管理办法的通知》（泰财预</w:t>
      </w:r>
      <w:r w:rsidRPr="006948A9">
        <w:rPr>
          <w:rFonts w:ascii="仿宋_GB2312" w:eastAsia="仿宋_GB2312" w:hAnsi="宋体" w:cs="宋体"/>
          <w:color w:val="000000"/>
          <w:kern w:val="0"/>
          <w:sz w:val="32"/>
          <w:szCs w:val="32"/>
        </w:rPr>
        <w:t>[2018]1</w:t>
      </w:r>
      <w:r w:rsidRPr="006948A9">
        <w:rPr>
          <w:rFonts w:ascii="仿宋_GB2312" w:eastAsia="仿宋_GB2312" w:hAnsi="宋体" w:cs="宋体" w:hint="eastAsia"/>
          <w:color w:val="000000"/>
          <w:kern w:val="0"/>
          <w:sz w:val="32"/>
          <w:szCs w:val="32"/>
        </w:rPr>
        <w:t>号文）有关规定，结合本单位工作实际，制定本办法。</w:t>
      </w:r>
      <w:r w:rsidRPr="006948A9">
        <w:rPr>
          <w:rFonts w:ascii="仿宋_GB2312" w:eastAsia="仿宋_GB2312" w:hAnsi="宋体" w:cs="宋体"/>
          <w:kern w:val="0"/>
          <w:sz w:val="32"/>
          <w:szCs w:val="32"/>
        </w:rPr>
        <w:t xml:space="preserve"> </w:t>
      </w:r>
    </w:p>
    <w:p w:rsidR="00A26A47" w:rsidRPr="006948A9" w:rsidRDefault="00A26A47" w:rsidP="006948A9">
      <w:pPr>
        <w:widowControl/>
        <w:shd w:val="clear" w:color="auto" w:fill="FFFFFF"/>
        <w:spacing w:before="100" w:beforeAutospacing="1" w:after="100" w:afterAutospacing="1"/>
        <w:ind w:firstLineChars="200" w:firstLine="640"/>
        <w:jc w:val="left"/>
        <w:rPr>
          <w:rFonts w:ascii="仿宋_GB2312" w:eastAsia="仿宋_GB2312" w:hAnsi="宋体" w:cs="宋体"/>
          <w:kern w:val="0"/>
          <w:sz w:val="23"/>
          <w:szCs w:val="23"/>
        </w:rPr>
      </w:pPr>
      <w:r w:rsidRPr="006948A9">
        <w:rPr>
          <w:rFonts w:ascii="仿宋_GB2312" w:eastAsia="仿宋_GB2312" w:hAnsi="宋体" w:cs="宋体" w:hint="eastAsia"/>
          <w:color w:val="000000"/>
          <w:kern w:val="0"/>
          <w:sz w:val="32"/>
          <w:szCs w:val="32"/>
        </w:rPr>
        <w:t>第二条</w:t>
      </w:r>
      <w:r w:rsidRPr="006948A9">
        <w:rPr>
          <w:rFonts w:ascii="仿宋_GB2312" w:eastAsia="仿宋_GB2312" w:hAnsi="宋体" w:cs="宋体"/>
          <w:color w:val="000000"/>
          <w:kern w:val="0"/>
          <w:sz w:val="32"/>
          <w:szCs w:val="32"/>
        </w:rPr>
        <w:t> </w:t>
      </w:r>
      <w:r w:rsidRPr="006948A9">
        <w:rPr>
          <w:rFonts w:ascii="仿宋_GB2312" w:eastAsia="仿宋_GB2312" w:hAnsi="宋体" w:cs="宋体"/>
          <w:color w:val="000000"/>
          <w:kern w:val="0"/>
          <w:sz w:val="32"/>
          <w:szCs w:val="32"/>
        </w:rPr>
        <w:t xml:space="preserve"> </w:t>
      </w:r>
      <w:r w:rsidRPr="006948A9">
        <w:rPr>
          <w:rFonts w:ascii="仿宋_GB2312" w:eastAsia="仿宋_GB2312" w:hAnsi="宋体" w:cs="宋体" w:hint="eastAsia"/>
          <w:color w:val="000000"/>
          <w:kern w:val="0"/>
          <w:sz w:val="32"/>
          <w:szCs w:val="32"/>
        </w:rPr>
        <w:t>本办法所称预决算信息包括预算收支安排、部门决算等管理信息。</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color w:val="000000"/>
          <w:kern w:val="0"/>
          <w:sz w:val="32"/>
          <w:szCs w:val="32"/>
        </w:rPr>
        <w:t>第三条</w:t>
      </w:r>
      <w:r w:rsidRPr="006948A9">
        <w:rPr>
          <w:rFonts w:ascii="仿宋_GB2312" w:eastAsia="仿宋_GB2312" w:hAnsi="宋体" w:cs="宋体"/>
          <w:color w:val="000000"/>
          <w:kern w:val="0"/>
          <w:sz w:val="32"/>
          <w:szCs w:val="32"/>
        </w:rPr>
        <w:t xml:space="preserve"> </w:t>
      </w:r>
      <w:r w:rsidRPr="006948A9">
        <w:rPr>
          <w:rFonts w:ascii="仿宋_GB2312" w:eastAsia="仿宋_GB2312" w:hAnsi="宋体" w:cs="宋体"/>
          <w:color w:val="000000"/>
          <w:kern w:val="0"/>
          <w:sz w:val="32"/>
          <w:szCs w:val="32"/>
        </w:rPr>
        <w:t> </w:t>
      </w:r>
      <w:r w:rsidRPr="006948A9">
        <w:rPr>
          <w:rFonts w:ascii="仿宋_GB2312" w:eastAsia="仿宋_GB2312" w:hAnsi="宋体" w:cs="宋体" w:hint="eastAsia"/>
          <w:color w:val="000000"/>
          <w:kern w:val="0"/>
          <w:sz w:val="32"/>
          <w:szCs w:val="32"/>
        </w:rPr>
        <w:t>预决算信息以公开为常态，不公开为例外。预决算信息公开遵循依法依规、真实准确、积极稳妥、分级负责的原则。</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color w:val="000000"/>
          <w:kern w:val="0"/>
          <w:sz w:val="32"/>
          <w:szCs w:val="32"/>
        </w:rPr>
        <w:t>第四条　本单位负责本级预决算信息公开工作，履行下列职责：</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color w:val="000000"/>
          <w:kern w:val="0"/>
          <w:sz w:val="32"/>
          <w:szCs w:val="32"/>
        </w:rPr>
        <w:t>（一）制定本单位预决算信息公开的工作方案；</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color w:val="000000"/>
          <w:kern w:val="0"/>
          <w:sz w:val="32"/>
          <w:szCs w:val="32"/>
        </w:rPr>
        <w:t>（二）按规定公开本单位预决算信息；</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color w:val="000000"/>
          <w:kern w:val="0"/>
          <w:sz w:val="32"/>
          <w:szCs w:val="32"/>
        </w:rPr>
        <w:t>（三）按规定做好公民、法人或者其他组织依申请公开部门预决算信息的答复工作；</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color w:val="000000"/>
          <w:kern w:val="0"/>
          <w:sz w:val="32"/>
          <w:szCs w:val="32"/>
        </w:rPr>
        <w:t>（四）法律、法规、规章规定的其他职责。</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color w:val="000000"/>
          <w:kern w:val="0"/>
          <w:sz w:val="32"/>
          <w:szCs w:val="32"/>
        </w:rPr>
        <w:lastRenderedPageBreak/>
        <w:t>第五条</w:t>
      </w:r>
      <w:r w:rsidRPr="006948A9">
        <w:rPr>
          <w:rFonts w:ascii="仿宋_GB2312" w:eastAsia="仿宋_GB2312" w:cs="宋体"/>
          <w:color w:val="000000"/>
          <w:kern w:val="0"/>
          <w:sz w:val="32"/>
          <w:szCs w:val="32"/>
        </w:rPr>
        <w:t> </w:t>
      </w:r>
      <w:r w:rsidRPr="006948A9">
        <w:rPr>
          <w:rFonts w:ascii="仿宋_GB2312" w:eastAsia="仿宋_GB2312" w:hAnsi="宋体" w:cs="宋体" w:hint="eastAsia"/>
          <w:color w:val="000000"/>
          <w:kern w:val="0"/>
          <w:sz w:val="32"/>
          <w:szCs w:val="32"/>
        </w:rPr>
        <w:t>预决算信息公开流程：</w:t>
      </w:r>
      <w:r w:rsidRPr="006948A9">
        <w:rPr>
          <w:rFonts w:ascii="仿宋_GB2312" w:eastAsia="仿宋_GB2312" w:hAnsi="宋体" w:cs="宋体"/>
          <w:kern w:val="0"/>
          <w:sz w:val="23"/>
          <w:szCs w:val="23"/>
        </w:rPr>
        <w:t xml:space="preserve"> </w:t>
      </w:r>
    </w:p>
    <w:p w:rsidR="00A26A47" w:rsidRPr="006948A9" w:rsidRDefault="005D01B3"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Pr>
          <w:rFonts w:ascii="仿宋_GB2312" w:eastAsia="仿宋_GB2312" w:hAnsi="宋体" w:cs="宋体" w:hint="eastAsia"/>
          <w:color w:val="000000"/>
          <w:kern w:val="0"/>
          <w:sz w:val="32"/>
          <w:szCs w:val="32"/>
        </w:rPr>
        <w:t>泰宁</w:t>
      </w:r>
      <w:r>
        <w:rPr>
          <w:rFonts w:ascii="仿宋_GB2312" w:eastAsia="仿宋_GB2312" w:hAnsi="宋体" w:cs="宋体"/>
          <w:color w:val="000000"/>
          <w:kern w:val="0"/>
          <w:sz w:val="32"/>
          <w:szCs w:val="32"/>
        </w:rPr>
        <w:t>县融媒体中心</w:t>
      </w:r>
      <w:r w:rsidR="00A26A47" w:rsidRPr="006948A9">
        <w:rPr>
          <w:rFonts w:ascii="仿宋_GB2312" w:eastAsia="仿宋_GB2312" w:hAnsi="宋体" w:cs="宋体" w:hint="eastAsia"/>
          <w:color w:val="000000"/>
          <w:kern w:val="0"/>
          <w:sz w:val="32"/>
          <w:szCs w:val="32"/>
        </w:rPr>
        <w:t>办公室负责本单位预决算信息公开工作，经分管领导和主要领导审签同意后对外公开。</w:t>
      </w:r>
      <w:r w:rsidR="00A26A47"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color w:val="000000"/>
          <w:kern w:val="0"/>
          <w:sz w:val="32"/>
          <w:szCs w:val="32"/>
        </w:rPr>
        <w:t>第六条</w:t>
      </w:r>
      <w:r w:rsidRPr="006948A9">
        <w:rPr>
          <w:rFonts w:ascii="仿宋_GB2312" w:eastAsia="仿宋_GB2312" w:cs="宋体"/>
          <w:color w:val="000000"/>
          <w:kern w:val="0"/>
          <w:sz w:val="32"/>
          <w:szCs w:val="32"/>
        </w:rPr>
        <w:t> </w:t>
      </w:r>
      <w:r w:rsidRPr="006948A9">
        <w:rPr>
          <w:rFonts w:ascii="仿宋_GB2312" w:eastAsia="仿宋_GB2312" w:hAnsi="宋体" w:cs="宋体" w:hint="eastAsia"/>
          <w:color w:val="000000"/>
          <w:kern w:val="0"/>
          <w:sz w:val="32"/>
          <w:szCs w:val="32"/>
        </w:rPr>
        <w:t>预算信息（涉密信息除外）公开内容包括：</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color w:val="000000"/>
          <w:kern w:val="0"/>
          <w:sz w:val="32"/>
          <w:szCs w:val="32"/>
        </w:rPr>
        <w:t>（一）本单位概况。包括：单位职责、机构设置、编制现状、年度主要工作任务及目标、单位收支预算编制的相关依据及测算分析情况；</w:t>
      </w:r>
      <w:r w:rsidRPr="006948A9">
        <w:rPr>
          <w:rFonts w:ascii="仿宋_GB2312" w:eastAsia="仿宋_GB2312" w:hAnsi="宋体" w:cs="宋体"/>
          <w:kern w:val="0"/>
          <w:sz w:val="23"/>
          <w:szCs w:val="23"/>
        </w:rPr>
        <w:t xml:space="preserve"> </w:t>
      </w:r>
    </w:p>
    <w:p w:rsidR="00A26A47" w:rsidRPr="006948A9" w:rsidRDefault="00A26A47" w:rsidP="005E1EDF">
      <w:pPr>
        <w:spacing w:line="560" w:lineRule="exact"/>
        <w:ind w:firstLine="684"/>
        <w:rPr>
          <w:rFonts w:ascii="仿宋_GB2312" w:eastAsia="仿宋_GB2312" w:hAnsi="宋体" w:cs="宋体"/>
          <w:color w:val="000000"/>
          <w:kern w:val="0"/>
          <w:sz w:val="32"/>
          <w:szCs w:val="32"/>
        </w:rPr>
      </w:pPr>
      <w:r w:rsidRPr="006948A9">
        <w:rPr>
          <w:rFonts w:ascii="仿宋_GB2312" w:eastAsia="仿宋_GB2312" w:hAnsi="宋体" w:cs="宋体" w:hint="eastAsia"/>
          <w:color w:val="000000"/>
          <w:kern w:val="0"/>
          <w:sz w:val="32"/>
          <w:szCs w:val="32"/>
        </w:rPr>
        <w:t>（二）预算表。包括：</w:t>
      </w:r>
      <w:r w:rsidRPr="006948A9">
        <w:rPr>
          <w:rFonts w:ascii="仿宋_GB2312" w:eastAsia="仿宋_GB2312" w:hint="eastAsia"/>
          <w:color w:val="000000"/>
          <w:sz w:val="32"/>
          <w:szCs w:val="32"/>
        </w:rPr>
        <w:t>收支预算总表、财政拨款支出预算表（按功能分类到项级）、财政拨款基本支出预算表（按经济分类到款级）、一般公共预算单位运行经费预算表、财政拨款政府性基金支出预算表、“三公”经费、会议费、培训费支出预算表、政府采购预算表、绩效目标表等；</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kern w:val="0"/>
          <w:sz w:val="32"/>
          <w:szCs w:val="32"/>
        </w:rPr>
        <w:t>（三）预算安排情况说明。包括单位年度收支预算、机关运行经费、“三公”经费、会议费、培训费等预算安排情况，对增减变化原因进行说明。对重大项目资金安排或可能引起社会公众关注的预算安排，结合工作任务和事业发展目标加以阐述；对重要指标进行上下年度的比较和分析；对各政府采购项目应就项目用途、采购方式进行说明等；</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kern w:val="0"/>
          <w:sz w:val="32"/>
          <w:szCs w:val="32"/>
        </w:rPr>
        <w:t>（四）名词解释。对部门预算相关专业名词进行解释说明。</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kern w:val="0"/>
          <w:sz w:val="32"/>
          <w:szCs w:val="32"/>
        </w:rPr>
        <w:lastRenderedPageBreak/>
        <w:t>第七条</w:t>
      </w:r>
      <w:r w:rsidRPr="006948A9">
        <w:rPr>
          <w:rFonts w:ascii="仿宋_GB2312" w:eastAsia="仿宋_GB2312" w:cs="宋体"/>
          <w:kern w:val="0"/>
          <w:sz w:val="32"/>
          <w:szCs w:val="32"/>
        </w:rPr>
        <w:t> </w:t>
      </w:r>
      <w:r w:rsidRPr="006948A9">
        <w:rPr>
          <w:rFonts w:ascii="仿宋_GB2312" w:eastAsia="仿宋_GB2312" w:hAnsi="宋体" w:cs="宋体" w:hint="eastAsia"/>
          <w:kern w:val="0"/>
          <w:sz w:val="32"/>
          <w:szCs w:val="32"/>
        </w:rPr>
        <w:t>决算信息（涉密信息除外）公开内容包括：</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kern w:val="0"/>
          <w:sz w:val="32"/>
          <w:szCs w:val="32"/>
        </w:rPr>
        <w:t>（一）单位概况。包括：单位主要职能、部门决算单位构成情况、当年度单位主要工作完成情况。</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kern w:val="0"/>
          <w:sz w:val="32"/>
          <w:szCs w:val="32"/>
        </w:rPr>
        <w:t>（二）决算表。包括：收支决算总表、财政拨款支出决算表（按功能分类到项级）、财政拨款基本支出决算表（按经济分类到款级）、一般公共预算机关运行经费决算表、政府性基金预算财政拨款收支决算表、“三公”经费、会议费、培训费支出决算表、政府采购决算表、</w:t>
      </w:r>
      <w:r w:rsidRPr="006948A9">
        <w:rPr>
          <w:rFonts w:ascii="仿宋_GB2312" w:eastAsia="仿宋_GB2312" w:hint="eastAsia"/>
          <w:color w:val="000000"/>
          <w:sz w:val="32"/>
          <w:szCs w:val="32"/>
        </w:rPr>
        <w:t>绩效目标表等。</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kern w:val="0"/>
          <w:sz w:val="32"/>
          <w:szCs w:val="32"/>
        </w:rPr>
        <w:t>（三）单位决算情况说明。包括：决算年度收支情况、财政拨款预算执行情况和</w:t>
      </w:r>
      <w:r w:rsidRPr="006948A9">
        <w:rPr>
          <w:rFonts w:ascii="仿宋_GB2312" w:eastAsia="仿宋_GB2312" w:cs="宋体"/>
          <w:kern w:val="0"/>
          <w:sz w:val="32"/>
          <w:szCs w:val="32"/>
        </w:rPr>
        <w:t> </w:t>
      </w:r>
      <w:r w:rsidRPr="006948A9">
        <w:rPr>
          <w:rFonts w:ascii="仿宋_GB2312" w:eastAsia="仿宋_GB2312" w:hAnsi="宋体" w:cs="宋体" w:hint="eastAsia"/>
          <w:kern w:val="0"/>
          <w:sz w:val="32"/>
          <w:szCs w:val="32"/>
        </w:rPr>
        <w:t>“三公”经费、会议费、培训费、机关运行经费、政府采购支出决算情况等；“三公”经费决算公开要说明因公出国（境）团组数及人数，公务用车购置数及保有量，国内公务接待的批次、人数、经费总额以及“三公”经费增减变化原因等情况；会议费、培训费决算公开要说明召开会议和组织培训的次数和人数等相关明细信息。</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kern w:val="0"/>
          <w:sz w:val="32"/>
          <w:szCs w:val="32"/>
        </w:rPr>
        <w:t>（四）名称解释。主要对单位公开决算表中的相关专业名称进行解释说明。</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color w:val="000000"/>
          <w:kern w:val="0"/>
          <w:sz w:val="32"/>
          <w:szCs w:val="32"/>
        </w:rPr>
        <w:t>第八条</w:t>
      </w:r>
      <w:r w:rsidRPr="006948A9">
        <w:rPr>
          <w:rFonts w:ascii="仿宋_GB2312" w:eastAsia="仿宋_GB2312" w:cs="宋体"/>
          <w:color w:val="000000"/>
          <w:kern w:val="0"/>
          <w:sz w:val="32"/>
          <w:szCs w:val="32"/>
        </w:rPr>
        <w:t> </w:t>
      </w:r>
      <w:r w:rsidRPr="006948A9">
        <w:rPr>
          <w:rFonts w:ascii="仿宋_GB2312" w:eastAsia="仿宋_GB2312" w:hAnsi="宋体" w:cs="宋体" w:hint="eastAsia"/>
          <w:color w:val="000000"/>
          <w:kern w:val="0"/>
          <w:sz w:val="32"/>
          <w:szCs w:val="32"/>
        </w:rPr>
        <w:t>经县政府财政部门批复的部门预算、决算及报表，应当在批复后</w:t>
      </w:r>
      <w:r w:rsidRPr="006948A9">
        <w:rPr>
          <w:rFonts w:ascii="仿宋_GB2312" w:eastAsia="仿宋_GB2312" w:hAnsi="宋体" w:cs="宋体"/>
          <w:color w:val="000000"/>
          <w:kern w:val="0"/>
          <w:sz w:val="32"/>
          <w:szCs w:val="32"/>
        </w:rPr>
        <w:t>20</w:t>
      </w:r>
      <w:r w:rsidRPr="006948A9">
        <w:rPr>
          <w:rFonts w:ascii="仿宋_GB2312" w:eastAsia="仿宋_GB2312" w:hAnsi="宋体" w:cs="宋体" w:hint="eastAsia"/>
          <w:color w:val="000000"/>
          <w:kern w:val="0"/>
          <w:sz w:val="32"/>
          <w:szCs w:val="32"/>
        </w:rPr>
        <w:t>日内由县文明办负责向社会公开。</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40"/>
        <w:jc w:val="left"/>
        <w:rPr>
          <w:rFonts w:ascii="仿宋_GB2312" w:eastAsia="仿宋_GB2312" w:hAnsi="宋体" w:cs="宋体"/>
          <w:kern w:val="0"/>
          <w:sz w:val="23"/>
          <w:szCs w:val="23"/>
        </w:rPr>
      </w:pPr>
      <w:r w:rsidRPr="006948A9">
        <w:rPr>
          <w:rFonts w:ascii="仿宋_GB2312" w:eastAsia="仿宋_GB2312" w:hAnsi="宋体" w:cs="宋体" w:hint="eastAsia"/>
          <w:color w:val="000000"/>
          <w:kern w:val="0"/>
          <w:sz w:val="32"/>
          <w:szCs w:val="32"/>
        </w:rPr>
        <w:lastRenderedPageBreak/>
        <w:t>第九条</w:t>
      </w:r>
      <w:r w:rsidRPr="006948A9">
        <w:rPr>
          <w:rFonts w:ascii="仿宋_GB2312" w:eastAsia="仿宋_GB2312" w:cs="宋体"/>
          <w:color w:val="000000"/>
          <w:kern w:val="0"/>
          <w:sz w:val="32"/>
          <w:szCs w:val="32"/>
        </w:rPr>
        <w:t> </w:t>
      </w:r>
      <w:r w:rsidRPr="006948A9">
        <w:rPr>
          <w:rFonts w:ascii="仿宋_GB2312" w:eastAsia="仿宋_GB2312" w:hAnsi="宋体" w:cs="宋体" w:hint="eastAsia"/>
          <w:color w:val="000000"/>
          <w:kern w:val="0"/>
          <w:sz w:val="32"/>
          <w:szCs w:val="32"/>
        </w:rPr>
        <w:t>预决算信息在</w:t>
      </w:r>
      <w:r w:rsidRPr="00194919">
        <w:rPr>
          <w:rFonts w:ascii="仿宋_GB2312" w:eastAsia="仿宋_GB2312" w:hAnsi="宋体" w:cs="宋体" w:hint="eastAsia"/>
          <w:kern w:val="0"/>
          <w:sz w:val="32"/>
          <w:szCs w:val="32"/>
        </w:rPr>
        <w:t>政府门</w:t>
      </w:r>
      <w:r w:rsidRPr="006948A9">
        <w:rPr>
          <w:rFonts w:ascii="仿宋_GB2312" w:eastAsia="仿宋_GB2312" w:hAnsi="宋体" w:cs="宋体" w:hint="eastAsia"/>
          <w:color w:val="000000"/>
          <w:kern w:val="0"/>
          <w:sz w:val="32"/>
          <w:szCs w:val="32"/>
        </w:rPr>
        <w:t>户网站公开，并长期保留。</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40"/>
        <w:jc w:val="left"/>
        <w:rPr>
          <w:rFonts w:ascii="仿宋_GB2312" w:eastAsia="仿宋_GB2312" w:hAnsi="宋体" w:cs="宋体"/>
          <w:kern w:val="0"/>
          <w:sz w:val="23"/>
          <w:szCs w:val="23"/>
        </w:rPr>
      </w:pPr>
      <w:r w:rsidRPr="006948A9">
        <w:rPr>
          <w:rFonts w:ascii="仿宋_GB2312" w:eastAsia="仿宋_GB2312" w:hAnsi="宋体" w:cs="宋体" w:hint="eastAsia"/>
          <w:color w:val="000000"/>
          <w:kern w:val="0"/>
          <w:sz w:val="32"/>
          <w:szCs w:val="32"/>
        </w:rPr>
        <w:t>第十条</w:t>
      </w:r>
      <w:r w:rsidRPr="006948A9">
        <w:rPr>
          <w:rFonts w:ascii="仿宋_GB2312" w:eastAsia="仿宋_GB2312" w:hAnsi="宋体" w:cs="宋体"/>
          <w:color w:val="000000"/>
          <w:kern w:val="0"/>
          <w:sz w:val="32"/>
          <w:szCs w:val="32"/>
        </w:rPr>
        <w:t xml:space="preserve"> </w:t>
      </w:r>
      <w:r w:rsidRPr="006948A9">
        <w:rPr>
          <w:rFonts w:ascii="仿宋_GB2312" w:eastAsia="仿宋_GB2312" w:hAnsi="宋体" w:cs="宋体"/>
          <w:color w:val="000000"/>
          <w:kern w:val="0"/>
          <w:sz w:val="32"/>
          <w:szCs w:val="32"/>
        </w:rPr>
        <w:t> </w:t>
      </w:r>
      <w:r w:rsidRPr="006948A9">
        <w:rPr>
          <w:rFonts w:ascii="仿宋_GB2312" w:eastAsia="仿宋_GB2312" w:hAnsi="宋体" w:cs="宋体" w:hint="eastAsia"/>
          <w:color w:val="000000"/>
          <w:kern w:val="0"/>
          <w:sz w:val="32"/>
          <w:szCs w:val="32"/>
        </w:rPr>
        <w:t>严格按照《中华人民共和国保密法》以及其他法律法规和有关规定，做好定密、解密工作。按照保密要求，做好信息公开的保密审查工作，确保审查程序规范，审查责任明确。</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40"/>
        <w:jc w:val="left"/>
        <w:rPr>
          <w:rFonts w:ascii="仿宋_GB2312" w:eastAsia="仿宋_GB2312" w:hAnsi="宋体" w:cs="宋体"/>
          <w:kern w:val="0"/>
          <w:sz w:val="23"/>
          <w:szCs w:val="23"/>
        </w:rPr>
      </w:pPr>
      <w:r w:rsidRPr="00194919">
        <w:rPr>
          <w:rFonts w:ascii="仿宋_GB2312" w:eastAsia="仿宋_GB2312" w:hAnsi="宋体" w:cs="宋体" w:hint="eastAsia"/>
          <w:kern w:val="0"/>
          <w:sz w:val="32"/>
          <w:szCs w:val="32"/>
        </w:rPr>
        <w:t>第十一条</w:t>
      </w:r>
      <w:r w:rsidRPr="00194919">
        <w:rPr>
          <w:rFonts w:ascii="仿宋_GB2312" w:eastAsia="仿宋_GB2312" w:cs="宋体"/>
          <w:kern w:val="0"/>
          <w:sz w:val="32"/>
          <w:szCs w:val="32"/>
        </w:rPr>
        <w:t> </w:t>
      </w:r>
      <w:r w:rsidR="00BA17D4">
        <w:rPr>
          <w:rFonts w:ascii="仿宋_GB2312" w:eastAsia="仿宋_GB2312" w:hAnsi="宋体" w:cs="宋体" w:hint="eastAsia"/>
          <w:kern w:val="0"/>
          <w:sz w:val="32"/>
          <w:szCs w:val="32"/>
        </w:rPr>
        <w:t>泰宁</w:t>
      </w:r>
      <w:r w:rsidR="00BA17D4">
        <w:rPr>
          <w:rFonts w:ascii="仿宋_GB2312" w:eastAsia="仿宋_GB2312" w:hAnsi="宋体" w:cs="宋体"/>
          <w:kern w:val="0"/>
          <w:sz w:val="32"/>
          <w:szCs w:val="32"/>
        </w:rPr>
        <w:t>县融媒体中心</w:t>
      </w:r>
      <w:r w:rsidRPr="00194919">
        <w:rPr>
          <w:rFonts w:ascii="仿宋_GB2312" w:eastAsia="仿宋_GB2312" w:hAnsi="宋体" w:cs="宋体" w:hint="eastAsia"/>
          <w:kern w:val="0"/>
          <w:sz w:val="32"/>
          <w:szCs w:val="32"/>
        </w:rPr>
        <w:t>要按照《泰宁县财政局关于预决算公开管理办法的通知》（泰财预</w:t>
      </w:r>
      <w:r w:rsidRPr="00194919">
        <w:rPr>
          <w:rFonts w:ascii="仿宋_GB2312" w:eastAsia="仿宋_GB2312" w:hAnsi="宋体" w:cs="宋体"/>
          <w:kern w:val="0"/>
          <w:sz w:val="32"/>
          <w:szCs w:val="32"/>
        </w:rPr>
        <w:t>[2018]1</w:t>
      </w:r>
      <w:r w:rsidRPr="00194919">
        <w:rPr>
          <w:rFonts w:ascii="仿宋_GB2312" w:eastAsia="仿宋_GB2312" w:hAnsi="宋体" w:cs="宋体" w:hint="eastAsia"/>
          <w:kern w:val="0"/>
          <w:sz w:val="32"/>
          <w:szCs w:val="32"/>
        </w:rPr>
        <w:t>号文）等规定要求，做好预决算信息依申请公开工作，主动回应社会普遍关注</w:t>
      </w:r>
      <w:r w:rsidRPr="006948A9">
        <w:rPr>
          <w:rFonts w:ascii="仿宋_GB2312" w:eastAsia="仿宋_GB2312" w:hAnsi="宋体" w:cs="宋体" w:hint="eastAsia"/>
          <w:color w:val="000000"/>
          <w:kern w:val="0"/>
          <w:sz w:val="32"/>
          <w:szCs w:val="32"/>
        </w:rPr>
        <w:t>的情况，及时解疑释惑，避免社会公众误解，密切关注工作中反映的问题，认真研究整改。</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40"/>
        <w:jc w:val="left"/>
        <w:rPr>
          <w:rFonts w:ascii="仿宋_GB2312" w:eastAsia="仿宋_GB2312" w:hAnsi="宋体" w:cs="宋体"/>
          <w:kern w:val="0"/>
          <w:sz w:val="23"/>
          <w:szCs w:val="23"/>
        </w:rPr>
      </w:pPr>
      <w:r w:rsidRPr="006948A9">
        <w:rPr>
          <w:rFonts w:ascii="仿宋_GB2312" w:eastAsia="仿宋_GB2312" w:hAnsi="宋体" w:cs="宋体" w:hint="eastAsia"/>
          <w:color w:val="000000"/>
          <w:kern w:val="0"/>
          <w:sz w:val="32"/>
          <w:szCs w:val="32"/>
        </w:rPr>
        <w:t>第十二条</w:t>
      </w:r>
      <w:r w:rsidRPr="006948A9">
        <w:rPr>
          <w:rFonts w:ascii="仿宋_GB2312" w:eastAsia="仿宋_GB2312" w:cs="宋体"/>
          <w:color w:val="000000"/>
          <w:kern w:val="0"/>
          <w:sz w:val="32"/>
          <w:szCs w:val="32"/>
        </w:rPr>
        <w:t> </w:t>
      </w:r>
      <w:r w:rsidRPr="006948A9">
        <w:rPr>
          <w:rFonts w:ascii="仿宋_GB2312" w:eastAsia="仿宋_GB2312" w:hAnsi="宋体" w:cs="宋体" w:hint="eastAsia"/>
          <w:color w:val="000000"/>
          <w:kern w:val="0"/>
          <w:sz w:val="32"/>
          <w:szCs w:val="32"/>
        </w:rPr>
        <w:t>涉及依申请公开事项，严格按照《政府信息公开条例》规定依法受理，对申请内容进行认真分析与研究，按照县政府信息依申请公开有关要求，严密工作流程，以规范的格式进行答复。</w:t>
      </w:r>
      <w:r w:rsidRPr="006948A9">
        <w:rPr>
          <w:rFonts w:ascii="仿宋_GB2312" w:eastAsia="仿宋_GB2312" w:hAnsi="宋体" w:cs="宋体"/>
          <w:kern w:val="0"/>
          <w:sz w:val="23"/>
          <w:szCs w:val="23"/>
        </w:rPr>
        <w:t xml:space="preserve"> </w:t>
      </w:r>
    </w:p>
    <w:p w:rsidR="00A26A47" w:rsidRPr="006948A9" w:rsidRDefault="008D03E8" w:rsidP="00DF7756">
      <w:pPr>
        <w:widowControl/>
        <w:shd w:val="clear" w:color="auto" w:fill="FFFFFF"/>
        <w:spacing w:before="100" w:beforeAutospacing="1" w:after="100" w:afterAutospacing="1"/>
        <w:jc w:val="left"/>
        <w:rPr>
          <w:rFonts w:ascii="仿宋_GB2312" w:eastAsia="仿宋_GB2312" w:hAnsi="宋体" w:cs="宋体"/>
          <w:kern w:val="0"/>
          <w:sz w:val="23"/>
          <w:szCs w:val="23"/>
        </w:rPr>
      </w:pPr>
      <w:r>
        <w:rPr>
          <w:rFonts w:ascii="仿宋_GB2312" w:eastAsia="仿宋_GB2312" w:hAnsi="宋体" w:cs="宋体" w:hint="eastAsia"/>
          <w:color w:val="000000"/>
          <w:kern w:val="0"/>
          <w:sz w:val="32"/>
          <w:szCs w:val="32"/>
        </w:rPr>
        <w:t xml:space="preserve">                       　</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 xml:space="preserve"> 20</w:t>
      </w:r>
      <w:r w:rsidR="001F3D88">
        <w:rPr>
          <w:rFonts w:ascii="仿宋_GB2312" w:eastAsia="仿宋_GB2312" w:hAnsi="宋体" w:cs="宋体"/>
          <w:color w:val="000000"/>
          <w:kern w:val="0"/>
          <w:sz w:val="32"/>
          <w:szCs w:val="32"/>
        </w:rPr>
        <w:t>2</w:t>
      </w:r>
      <w:r w:rsidR="00FD0F6B">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年1月</w:t>
      </w:r>
      <w:r w:rsidR="00135673">
        <w:rPr>
          <w:rFonts w:ascii="仿宋_GB2312" w:eastAsia="仿宋_GB2312" w:hAnsi="宋体" w:cs="宋体" w:hint="eastAsia"/>
          <w:color w:val="000000"/>
          <w:kern w:val="0"/>
          <w:sz w:val="32"/>
          <w:szCs w:val="32"/>
        </w:rPr>
        <w:t>15</w:t>
      </w:r>
      <w:bookmarkStart w:id="0" w:name="_GoBack"/>
      <w:bookmarkEnd w:id="0"/>
      <w:r>
        <w:rPr>
          <w:rFonts w:ascii="仿宋_GB2312" w:eastAsia="仿宋_GB2312" w:hAnsi="宋体" w:cs="宋体" w:hint="eastAsia"/>
          <w:color w:val="000000"/>
          <w:kern w:val="0"/>
          <w:sz w:val="32"/>
          <w:szCs w:val="32"/>
        </w:rPr>
        <w:t>日</w:t>
      </w:r>
      <w:r w:rsidR="00A26A47" w:rsidRPr="006948A9">
        <w:rPr>
          <w:rFonts w:ascii="仿宋_GB2312" w:eastAsia="仿宋_GB2312" w:hAnsi="宋体" w:cs="宋体"/>
          <w:color w:val="000000"/>
          <w:kern w:val="0"/>
          <w:sz w:val="32"/>
          <w:szCs w:val="32"/>
        </w:rPr>
        <w:t> </w:t>
      </w:r>
      <w:r w:rsidR="00A26A47" w:rsidRPr="006948A9">
        <w:rPr>
          <w:rFonts w:ascii="仿宋_GB2312" w:eastAsia="仿宋_GB2312" w:hAnsi="宋体" w:cs="宋体"/>
          <w:kern w:val="0"/>
          <w:sz w:val="23"/>
          <w:szCs w:val="23"/>
        </w:rPr>
        <w:t xml:space="preserve"> </w:t>
      </w:r>
    </w:p>
    <w:p w:rsidR="00A26A47" w:rsidRPr="006948A9" w:rsidRDefault="00A26A47">
      <w:pPr>
        <w:rPr>
          <w:rFonts w:ascii="仿宋_GB2312" w:eastAsia="仿宋_GB2312"/>
        </w:rPr>
      </w:pPr>
    </w:p>
    <w:sectPr w:rsidR="00A26A47" w:rsidRPr="006948A9" w:rsidSect="00AF0B4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EF3" w:rsidRDefault="009F6EF3" w:rsidP="00DF7756">
      <w:r>
        <w:separator/>
      </w:r>
    </w:p>
  </w:endnote>
  <w:endnote w:type="continuationSeparator" w:id="0">
    <w:p w:rsidR="009F6EF3" w:rsidRDefault="009F6EF3" w:rsidP="00DF7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47" w:rsidRDefault="00A26A4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47" w:rsidRDefault="00A26A4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47" w:rsidRDefault="00A26A4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EF3" w:rsidRDefault="009F6EF3" w:rsidP="00DF7756">
      <w:r>
        <w:separator/>
      </w:r>
    </w:p>
  </w:footnote>
  <w:footnote w:type="continuationSeparator" w:id="0">
    <w:p w:rsidR="009F6EF3" w:rsidRDefault="009F6EF3" w:rsidP="00DF7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47" w:rsidRDefault="00A26A4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47" w:rsidRDefault="00A26A47" w:rsidP="00C83236">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47" w:rsidRDefault="00A26A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B80"/>
    <w:rsid w:val="00036506"/>
    <w:rsid w:val="00057C38"/>
    <w:rsid w:val="000E2497"/>
    <w:rsid w:val="000E315E"/>
    <w:rsid w:val="00135673"/>
    <w:rsid w:val="00171DF2"/>
    <w:rsid w:val="00194919"/>
    <w:rsid w:val="001E6139"/>
    <w:rsid w:val="001F0B23"/>
    <w:rsid w:val="001F3D88"/>
    <w:rsid w:val="00201BBF"/>
    <w:rsid w:val="002675DB"/>
    <w:rsid w:val="002B1801"/>
    <w:rsid w:val="002F1EC3"/>
    <w:rsid w:val="003921B1"/>
    <w:rsid w:val="004C088E"/>
    <w:rsid w:val="004C5008"/>
    <w:rsid w:val="00580FA9"/>
    <w:rsid w:val="005D01B3"/>
    <w:rsid w:val="005E1EDF"/>
    <w:rsid w:val="005F71E1"/>
    <w:rsid w:val="00606C15"/>
    <w:rsid w:val="006153EF"/>
    <w:rsid w:val="00653815"/>
    <w:rsid w:val="006948A9"/>
    <w:rsid w:val="006E3BB3"/>
    <w:rsid w:val="00736B80"/>
    <w:rsid w:val="007B22D8"/>
    <w:rsid w:val="008D03E8"/>
    <w:rsid w:val="00984DB7"/>
    <w:rsid w:val="009F6EF3"/>
    <w:rsid w:val="00A26A47"/>
    <w:rsid w:val="00AB7190"/>
    <w:rsid w:val="00AF0B47"/>
    <w:rsid w:val="00AF7BDF"/>
    <w:rsid w:val="00B3104E"/>
    <w:rsid w:val="00B55729"/>
    <w:rsid w:val="00B84F87"/>
    <w:rsid w:val="00BA17D4"/>
    <w:rsid w:val="00C60F4F"/>
    <w:rsid w:val="00C83236"/>
    <w:rsid w:val="00D54157"/>
    <w:rsid w:val="00DF7756"/>
    <w:rsid w:val="00E258A5"/>
    <w:rsid w:val="00FD0F6B"/>
    <w:rsid w:val="00FD37A8"/>
    <w:rsid w:val="00FD7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6A05E82-935E-4A79-91D0-F3EBAD22B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B4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F775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DF7756"/>
    <w:rPr>
      <w:rFonts w:cs="Times New Roman"/>
      <w:sz w:val="18"/>
      <w:szCs w:val="18"/>
    </w:rPr>
  </w:style>
  <w:style w:type="paragraph" w:styleId="a4">
    <w:name w:val="footer"/>
    <w:basedOn w:val="a"/>
    <w:link w:val="Char0"/>
    <w:uiPriority w:val="99"/>
    <w:rsid w:val="00DF7756"/>
    <w:pPr>
      <w:tabs>
        <w:tab w:val="center" w:pos="4153"/>
        <w:tab w:val="right" w:pos="8306"/>
      </w:tabs>
      <w:snapToGrid w:val="0"/>
      <w:jc w:val="left"/>
    </w:pPr>
    <w:rPr>
      <w:sz w:val="18"/>
      <w:szCs w:val="18"/>
    </w:rPr>
  </w:style>
  <w:style w:type="character" w:customStyle="1" w:styleId="Char0">
    <w:name w:val="页脚 Char"/>
    <w:link w:val="a4"/>
    <w:uiPriority w:val="99"/>
    <w:locked/>
    <w:rsid w:val="00DF7756"/>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43889">
      <w:marLeft w:val="0"/>
      <w:marRight w:val="0"/>
      <w:marTop w:val="0"/>
      <w:marBottom w:val="0"/>
      <w:divBdr>
        <w:top w:val="none" w:sz="0" w:space="0" w:color="auto"/>
        <w:left w:val="none" w:sz="0" w:space="0" w:color="auto"/>
        <w:bottom w:val="none" w:sz="0" w:space="0" w:color="auto"/>
        <w:right w:val="none" w:sz="0" w:space="0" w:color="auto"/>
      </w:divBdr>
      <w:divsChild>
        <w:div w:id="94443890">
          <w:marLeft w:val="0"/>
          <w:marRight w:val="0"/>
          <w:marTop w:val="0"/>
          <w:marBottom w:val="0"/>
          <w:divBdr>
            <w:top w:val="single" w:sz="36" w:space="0" w:color="046ACE"/>
            <w:left w:val="none" w:sz="0" w:space="0" w:color="auto"/>
            <w:bottom w:val="none" w:sz="0" w:space="0" w:color="auto"/>
            <w:right w:val="none" w:sz="0" w:space="0" w:color="auto"/>
          </w:divBdr>
          <w:divsChild>
            <w:div w:id="94443892">
              <w:marLeft w:val="0"/>
              <w:marRight w:val="0"/>
              <w:marTop w:val="0"/>
              <w:marBottom w:val="0"/>
              <w:divBdr>
                <w:top w:val="none" w:sz="0" w:space="0" w:color="auto"/>
                <w:left w:val="none" w:sz="0" w:space="0" w:color="auto"/>
                <w:bottom w:val="none" w:sz="0" w:space="0" w:color="auto"/>
                <w:right w:val="none" w:sz="0" w:space="0" w:color="auto"/>
              </w:divBdr>
              <w:divsChild>
                <w:div w:id="94443887">
                  <w:marLeft w:val="0"/>
                  <w:marRight w:val="0"/>
                  <w:marTop w:val="0"/>
                  <w:marBottom w:val="0"/>
                  <w:divBdr>
                    <w:top w:val="none" w:sz="0" w:space="0" w:color="auto"/>
                    <w:left w:val="none" w:sz="0" w:space="0" w:color="auto"/>
                    <w:bottom w:val="none" w:sz="0" w:space="0" w:color="auto"/>
                    <w:right w:val="none" w:sz="0" w:space="0" w:color="auto"/>
                  </w:divBdr>
                  <w:divsChild>
                    <w:div w:id="94443893">
                      <w:marLeft w:val="0"/>
                      <w:marRight w:val="0"/>
                      <w:marTop w:val="0"/>
                      <w:marBottom w:val="0"/>
                      <w:divBdr>
                        <w:top w:val="none" w:sz="0" w:space="0" w:color="auto"/>
                        <w:left w:val="none" w:sz="0" w:space="0" w:color="auto"/>
                        <w:bottom w:val="none" w:sz="0" w:space="0" w:color="auto"/>
                        <w:right w:val="none" w:sz="0" w:space="0" w:color="auto"/>
                      </w:divBdr>
                      <w:divsChild>
                        <w:div w:id="94443891">
                          <w:marLeft w:val="0"/>
                          <w:marRight w:val="0"/>
                          <w:marTop w:val="0"/>
                          <w:marBottom w:val="0"/>
                          <w:divBdr>
                            <w:top w:val="single" w:sz="6" w:space="0" w:color="E8EAEB"/>
                            <w:left w:val="single" w:sz="6" w:space="0" w:color="E8EAEB"/>
                            <w:bottom w:val="single" w:sz="6" w:space="0" w:color="E8EAEB"/>
                            <w:right w:val="single" w:sz="6" w:space="0" w:color="E8EAEB"/>
                          </w:divBdr>
                          <w:divsChild>
                            <w:div w:id="94443894">
                              <w:marLeft w:val="0"/>
                              <w:marRight w:val="0"/>
                              <w:marTop w:val="0"/>
                              <w:marBottom w:val="0"/>
                              <w:divBdr>
                                <w:top w:val="none" w:sz="0" w:space="0" w:color="auto"/>
                                <w:left w:val="none" w:sz="0" w:space="0" w:color="auto"/>
                                <w:bottom w:val="none" w:sz="0" w:space="0" w:color="auto"/>
                                <w:right w:val="none" w:sz="0" w:space="0" w:color="auto"/>
                              </w:divBdr>
                              <w:divsChild>
                                <w:div w:id="94443886">
                                  <w:marLeft w:val="0"/>
                                  <w:marRight w:val="0"/>
                                  <w:marTop w:val="0"/>
                                  <w:marBottom w:val="0"/>
                                  <w:divBdr>
                                    <w:top w:val="none" w:sz="0" w:space="0" w:color="auto"/>
                                    <w:left w:val="none" w:sz="0" w:space="0" w:color="auto"/>
                                    <w:bottom w:val="none" w:sz="0" w:space="0" w:color="auto"/>
                                    <w:right w:val="none" w:sz="0" w:space="0" w:color="auto"/>
                                  </w:divBdr>
                                  <w:divsChild>
                                    <w:div w:id="944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Tntv</dc:creator>
  <cp:keywords/>
  <dc:description/>
  <cp:lastModifiedBy>肖春香</cp:lastModifiedBy>
  <cp:revision>35</cp:revision>
  <dcterms:created xsi:type="dcterms:W3CDTF">2019-01-19T03:07:00Z</dcterms:created>
  <dcterms:modified xsi:type="dcterms:W3CDTF">2022-02-10T02:31:00Z</dcterms:modified>
</cp:coreProperties>
</file>