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444444"/>
          <w:spacing w:val="0"/>
          <w:kern w:val="0"/>
          <w:sz w:val="44"/>
          <w:szCs w:val="44"/>
          <w:shd w:val="clear" w:fill="FFFFFF"/>
          <w:lang w:val="en-US" w:eastAsia="zh-CN" w:bidi="ar"/>
        </w:rPr>
      </w:pPr>
      <w:bookmarkStart w:id="0" w:name="_GoBack"/>
      <w:r>
        <w:rPr>
          <w:rFonts w:hint="eastAsia" w:ascii="方正小标宋简体" w:hAnsi="方正小标宋简体" w:eastAsia="方正小标宋简体" w:cs="方正小标宋简体"/>
          <w:i w:val="0"/>
          <w:caps w:val="0"/>
          <w:color w:val="444444"/>
          <w:spacing w:val="0"/>
          <w:kern w:val="0"/>
          <w:sz w:val="44"/>
          <w:szCs w:val="44"/>
          <w:shd w:val="clear" w:fill="FFFFFF"/>
          <w:lang w:val="en-US" w:eastAsia="zh-CN" w:bidi="ar"/>
        </w:rPr>
        <w:t>福建省泰宁金湖旅游经济开发区管理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宋体" w:hAnsi="宋体" w:eastAsia="宋体" w:cs="宋体"/>
          <w:i w:val="0"/>
          <w:caps w:val="0"/>
          <w:color w:val="333333"/>
          <w:spacing w:val="0"/>
          <w:sz w:val="24"/>
          <w:szCs w:val="24"/>
        </w:rPr>
      </w:pPr>
      <w:r>
        <w:rPr>
          <w:rFonts w:hint="eastAsia" w:ascii="方正小标宋简体" w:hAnsi="方正小标宋简体" w:eastAsia="方正小标宋简体" w:cs="方正小标宋简体"/>
          <w:i w:val="0"/>
          <w:caps w:val="0"/>
          <w:color w:val="444444"/>
          <w:spacing w:val="0"/>
          <w:kern w:val="0"/>
          <w:sz w:val="44"/>
          <w:szCs w:val="44"/>
          <w:shd w:val="clear" w:fill="FFFFFF"/>
          <w:lang w:val="en-US" w:eastAsia="zh-CN" w:bidi="ar"/>
        </w:rPr>
        <w:t>委员会</w:t>
      </w:r>
      <w:r>
        <w:rPr>
          <w:rFonts w:ascii="方正小标宋简体" w:hAnsi="方正小标宋简体" w:eastAsia="方正小标宋简体" w:cs="方正小标宋简体"/>
          <w:i w:val="0"/>
          <w:caps w:val="0"/>
          <w:color w:val="444444"/>
          <w:spacing w:val="0"/>
          <w:kern w:val="0"/>
          <w:sz w:val="44"/>
          <w:szCs w:val="44"/>
          <w:shd w:val="clear" w:fill="FFFFFF"/>
          <w:lang w:val="en-US" w:eastAsia="zh-CN" w:bidi="ar"/>
        </w:rPr>
        <w:t>预决算公开管理办法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宋体" w:hAnsi="宋体" w:eastAsia="宋体" w:cs="宋体"/>
          <w:i w:val="0"/>
          <w:caps w:val="0"/>
          <w:color w:val="333333"/>
          <w:spacing w:val="0"/>
          <w:sz w:val="24"/>
          <w:szCs w:val="24"/>
        </w:rPr>
      </w:pPr>
      <w:r>
        <w:rPr>
          <w:rFonts w:ascii="仿宋" w:hAnsi="仿宋" w:eastAsia="仿宋" w:cs="仿宋"/>
          <w:i w:val="0"/>
          <w:caps w:val="0"/>
          <w:color w:val="444444"/>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eastAsia" w:ascii="宋体" w:hAnsi="宋体" w:eastAsia="宋体" w:cs="宋体"/>
          <w:i w:val="0"/>
          <w:caps w:val="0"/>
          <w:color w:val="333333"/>
          <w:spacing w:val="0"/>
          <w:sz w:val="24"/>
          <w:szCs w:val="24"/>
        </w:rPr>
      </w:pPr>
      <w:r>
        <w:rPr>
          <w:rFonts w:ascii="黑体" w:hAnsi="宋体" w:eastAsia="黑体" w:cs="黑体"/>
          <w:i w:val="0"/>
          <w:caps w:val="0"/>
          <w:color w:val="444444"/>
          <w:spacing w:val="0"/>
          <w:kern w:val="0"/>
          <w:sz w:val="30"/>
          <w:szCs w:val="30"/>
          <w:shd w:val="clear" w:fill="FFFFFF"/>
          <w:lang w:val="en-US" w:eastAsia="zh-CN" w:bidi="ar"/>
        </w:rPr>
        <w:t>    </w:t>
      </w:r>
      <w:r>
        <w:rPr>
          <w:rFonts w:hint="eastAsia" w:ascii="黑体" w:hAnsi="宋体" w:eastAsia="黑体" w:cs="黑体"/>
          <w:i w:val="0"/>
          <w:caps w:val="0"/>
          <w:color w:val="444444"/>
          <w:spacing w:val="0"/>
          <w:kern w:val="0"/>
          <w:sz w:val="32"/>
          <w:szCs w:val="32"/>
          <w:shd w:val="clear" w:fill="FFFFFF"/>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为贯彻落实中央和省推进预算公开工作精神，进一步推进预决算公开工作，建立健全全面规范、公开透明的预算制度，根据《中华人民共和国预算法》、《中华人民共和国政府信息公开条例》、《中共福建省委办公厅省人民政府办公厅印发关于进一步推进预算公开工作的实施意见的通知》(闽委办发（2016）22号）等有关规定，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444444"/>
          <w:spacing w:val="0"/>
          <w:kern w:val="0"/>
          <w:sz w:val="32"/>
          <w:szCs w:val="32"/>
          <w:shd w:val="clear" w:fill="FFFFFF"/>
          <w:lang w:val="en-US" w:eastAsia="zh-CN" w:bidi="ar"/>
        </w:rPr>
        <w:t>二、预决算公开原则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2"/>
        <w:jc w:val="left"/>
        <w:rPr>
          <w:rFonts w:hint="eastAsia" w:ascii="宋体" w:hAnsi="宋体" w:eastAsia="宋体" w:cs="宋体"/>
          <w:i w:val="0"/>
          <w:caps w:val="0"/>
          <w:color w:val="333333"/>
          <w:spacing w:val="0"/>
          <w:sz w:val="24"/>
          <w:szCs w:val="24"/>
        </w:rPr>
      </w:pPr>
      <w:r>
        <w:rPr>
          <w:rFonts w:ascii="楷体" w:hAnsi="楷体" w:eastAsia="楷体" w:cs="楷体"/>
          <w:b/>
          <w:i w:val="0"/>
          <w:caps w:val="0"/>
          <w:color w:val="444444"/>
          <w:spacing w:val="0"/>
          <w:kern w:val="0"/>
          <w:sz w:val="32"/>
          <w:szCs w:val="32"/>
          <w:shd w:val="clear" w:fill="FFFFFF"/>
          <w:lang w:val="en-US" w:eastAsia="zh-CN" w:bidi="ar"/>
        </w:rPr>
        <w:t>（一）积极公开。</w:t>
      </w:r>
      <w:r>
        <w:rPr>
          <w:rFonts w:hint="eastAsia" w:ascii="仿宋" w:hAnsi="仿宋" w:eastAsia="仿宋" w:cs="仿宋"/>
          <w:i w:val="0"/>
          <w:caps w:val="0"/>
          <w:color w:val="444444"/>
          <w:spacing w:val="0"/>
          <w:kern w:val="0"/>
          <w:sz w:val="32"/>
          <w:szCs w:val="32"/>
          <w:shd w:val="clear" w:fill="FFFFFF"/>
          <w:lang w:val="en-US" w:eastAsia="zh-CN" w:bidi="ar"/>
        </w:rPr>
        <w:t>以公开为常态、不公开为例外，除涉及国家秘密的信息外，不得少公开、不公开应当公开的事项，保证公开内容全面、真实、完整。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2"/>
        <w:jc w:val="left"/>
        <w:rPr>
          <w:rFonts w:hint="eastAsia" w:ascii="宋体" w:hAnsi="宋体" w:eastAsia="宋体" w:cs="宋体"/>
          <w:i w:val="0"/>
          <w:caps w:val="0"/>
          <w:color w:val="333333"/>
          <w:spacing w:val="0"/>
          <w:sz w:val="24"/>
          <w:szCs w:val="24"/>
        </w:rPr>
      </w:pPr>
      <w:r>
        <w:rPr>
          <w:rFonts w:hint="eastAsia" w:ascii="楷体" w:hAnsi="楷体" w:eastAsia="楷体" w:cs="楷体"/>
          <w:b/>
          <w:i w:val="0"/>
          <w:caps w:val="0"/>
          <w:color w:val="444444"/>
          <w:spacing w:val="0"/>
          <w:kern w:val="0"/>
          <w:sz w:val="32"/>
          <w:szCs w:val="32"/>
          <w:shd w:val="clear" w:fill="FFFFFF"/>
          <w:lang w:val="en-US" w:eastAsia="zh-CN" w:bidi="ar"/>
        </w:rPr>
        <w:t>（二）强化责任。</w:t>
      </w:r>
      <w:r>
        <w:rPr>
          <w:rFonts w:hint="eastAsia" w:ascii="仿宋" w:hAnsi="仿宋" w:eastAsia="仿宋" w:cs="仿宋"/>
          <w:i w:val="0"/>
          <w:caps w:val="0"/>
          <w:color w:val="444444"/>
          <w:spacing w:val="0"/>
          <w:kern w:val="0"/>
          <w:sz w:val="32"/>
          <w:szCs w:val="32"/>
          <w:shd w:val="clear" w:fill="FFFFFF"/>
          <w:lang w:val="en-US" w:eastAsia="zh-CN" w:bidi="ar"/>
        </w:rPr>
        <w:t>坚持谁主管、谁公开、谁负责，本部门应当切实履行职责，依法主动公开预决算信息。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2"/>
        <w:jc w:val="left"/>
        <w:rPr>
          <w:rFonts w:hint="eastAsia" w:ascii="宋体" w:hAnsi="宋体" w:eastAsia="宋体" w:cs="宋体"/>
          <w:i w:val="0"/>
          <w:caps w:val="0"/>
          <w:color w:val="333333"/>
          <w:spacing w:val="0"/>
          <w:sz w:val="24"/>
          <w:szCs w:val="24"/>
        </w:rPr>
      </w:pPr>
      <w:r>
        <w:rPr>
          <w:rFonts w:hint="eastAsia" w:ascii="楷体" w:hAnsi="楷体" w:eastAsia="楷体" w:cs="楷体"/>
          <w:b/>
          <w:i w:val="0"/>
          <w:caps w:val="0"/>
          <w:color w:val="444444"/>
          <w:spacing w:val="0"/>
          <w:kern w:val="0"/>
          <w:sz w:val="32"/>
          <w:szCs w:val="32"/>
          <w:shd w:val="clear" w:fill="FFFFFF"/>
          <w:lang w:val="en-US" w:eastAsia="zh-CN" w:bidi="ar"/>
        </w:rPr>
        <w:t>（三）促进改革。</w:t>
      </w:r>
      <w:r>
        <w:rPr>
          <w:rFonts w:hint="eastAsia" w:ascii="仿宋" w:hAnsi="仿宋" w:eastAsia="仿宋" w:cs="仿宋"/>
          <w:i w:val="0"/>
          <w:caps w:val="0"/>
          <w:color w:val="444444"/>
          <w:spacing w:val="0"/>
          <w:kern w:val="0"/>
          <w:sz w:val="32"/>
          <w:szCs w:val="32"/>
          <w:shd w:val="clear" w:fill="FFFFFF"/>
          <w:lang w:val="en-US" w:eastAsia="zh-CN" w:bidi="ar"/>
        </w:rPr>
        <w:t>以公开为抓手，通过预决算公开促进财税体制改革和其他相关领域改革，促进财税政策落实，促进财政管理规范，促进政府效能提高。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2"/>
        <w:jc w:val="left"/>
        <w:rPr>
          <w:rFonts w:hint="eastAsia" w:ascii="宋体" w:hAnsi="宋体" w:eastAsia="宋体" w:cs="宋体"/>
          <w:i w:val="0"/>
          <w:caps w:val="0"/>
          <w:color w:val="333333"/>
          <w:spacing w:val="0"/>
          <w:sz w:val="24"/>
          <w:szCs w:val="24"/>
        </w:rPr>
      </w:pPr>
      <w:r>
        <w:rPr>
          <w:rFonts w:hint="eastAsia" w:ascii="楷体" w:hAnsi="楷体" w:eastAsia="楷体" w:cs="楷体"/>
          <w:b/>
          <w:i w:val="0"/>
          <w:caps w:val="0"/>
          <w:color w:val="444444"/>
          <w:spacing w:val="0"/>
          <w:kern w:val="0"/>
          <w:sz w:val="32"/>
          <w:szCs w:val="32"/>
          <w:shd w:val="clear" w:fill="FFFFFF"/>
          <w:lang w:val="en-US" w:eastAsia="zh-CN" w:bidi="ar"/>
        </w:rPr>
        <w:t>（四）同步推进。</w:t>
      </w:r>
      <w:r>
        <w:rPr>
          <w:rFonts w:hint="eastAsia" w:ascii="仿宋" w:hAnsi="仿宋" w:eastAsia="仿宋" w:cs="仿宋"/>
          <w:i w:val="0"/>
          <w:caps w:val="0"/>
          <w:color w:val="444444"/>
          <w:spacing w:val="0"/>
          <w:kern w:val="0"/>
          <w:sz w:val="32"/>
          <w:szCs w:val="32"/>
          <w:shd w:val="clear" w:fill="FFFFFF"/>
          <w:lang w:val="en-US" w:eastAsia="zh-CN" w:bidi="ar"/>
        </w:rPr>
        <w:t>保持上下联动、部门同步，规范部门预决算公开工作。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3"/>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FFFFF"/>
          <w:lang w:val="en-US" w:eastAsia="zh-CN" w:bidi="ar"/>
        </w:rPr>
        <w:t>三、预决算公开职责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3"/>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部门预决算由本部门负责公开。除涉密信息外，应主动、及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时向社会公开经县级财政部门批复的本部门预算、决算及报表等预决算信息。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本部门负责制定本部门预决算公开的规定，预决算公开情况须报送县级财政部门。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3"/>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FFFFF"/>
          <w:lang w:val="en-US" w:eastAsia="zh-CN" w:bidi="ar"/>
        </w:rPr>
        <w:t>四、预决算公开时间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部门预决算应在县级财政部门批复后20日内向社会公开。本部门必须在法律规定的时限内公开，鼓励公开时间适当提前。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宋体" w:hAnsi="宋体" w:eastAsia="宋体" w:cs="宋体"/>
          <w:i w:val="0"/>
          <w:caps w:val="0"/>
          <w:color w:val="333333"/>
          <w:spacing w:val="0"/>
          <w:sz w:val="24"/>
          <w:szCs w:val="24"/>
        </w:rPr>
      </w:pPr>
      <w:r>
        <w:rPr>
          <w:rFonts w:hint="eastAsia" w:ascii="黑体" w:hAnsi="宋体" w:eastAsia="黑体" w:cs="黑体"/>
          <w:b/>
          <w:i w:val="0"/>
          <w:caps w:val="0"/>
          <w:color w:val="333333"/>
          <w:spacing w:val="0"/>
          <w:kern w:val="0"/>
          <w:sz w:val="32"/>
          <w:szCs w:val="32"/>
          <w:shd w:val="clear" w:fill="FFFFFF"/>
          <w:lang w:val="en-US" w:eastAsia="zh-CN" w:bidi="ar"/>
        </w:rPr>
        <w:t>五、部门预决算公开内容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部门预决算公开内容为县级财政部门批复的部门预决算及报表，包括部门收支总体情况和财政拨款收支情况，公开表如下：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（一）部门收支预算总表；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（二）部门收入预算总表；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（三）部门支出预算总表；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（四）财政拨款收支预算总表；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（五）一般公共预算拨款支出预算表；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（六）政府性基金拨款支出预算表；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（七）一般公共预算支出经济分类情况表；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    （八）一般公共预算基本支出经济分类情况表；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（九）一般公共预算“三公”经费支出预算表；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（十）部门业务费绩效目标表；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（十一）专项资金绩效目标表。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对属于公开范围的部门预决算报表，没有数据的表格应列出空表并说明。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一般公共预算拨款支出预算表公开到功能分类项级科目。一般公共预算支出经济分类情况表公开到经济性质分类类级科目，其中：基本支出公开到经济性质分类款级科目。一般公共预算“三公”经费支出表按“因公出国（境）费”、“公务用车购置及运行费”、“公务接待费”公开，其中，“公务用车购置及运行费”应细化到“公务用车购置费”、“公务用车运行费”两个项目。公开的“三公”经费预决算应说明因公出国（境）费、公务用车购置及运行费、公务接待费增减变化情况及原因；公开的“三公”经费决算应说明因公出国(境)团组数及人数，公务用车购置数及保有量，国内公务接待的批次、人数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本部门公开预决算表的同时，应一并公开本部门预算说明、部门的职责、机构设置、预决算收支增减变化、机关运行经费安排、政府采购、国有资产占有使用、预算绩效等情况的说明，并对专业性较强的名词进行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62"/>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6"/>
          <w:kern w:val="0"/>
          <w:sz w:val="32"/>
          <w:szCs w:val="32"/>
          <w:shd w:val="clear" w:fill="FFFFFF"/>
          <w:lang w:val="en-US" w:eastAsia="zh-CN" w:bidi="ar"/>
        </w:rPr>
        <w:t>“预算绩效”情况本部门应当结合工作进展推进预算绩效信息公开，逐步在部门预算中公开部门重点项目预算的绩效目标，在部门决算中公开主要民生项目和重点支出项目的绩效评价结果。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宋体" w:hAnsi="宋体" w:eastAsia="宋体" w:cs="宋体"/>
          <w:i w:val="0"/>
          <w:caps w:val="0"/>
          <w:color w:val="333333"/>
          <w:spacing w:val="0"/>
          <w:sz w:val="24"/>
          <w:szCs w:val="24"/>
        </w:rPr>
      </w:pPr>
      <w:r>
        <w:rPr>
          <w:rFonts w:hint="eastAsia" w:ascii="黑体" w:hAnsi="宋体" w:eastAsia="黑体" w:cs="黑体"/>
          <w:b/>
          <w:i w:val="0"/>
          <w:caps w:val="0"/>
          <w:color w:val="333333"/>
          <w:spacing w:val="0"/>
          <w:kern w:val="0"/>
          <w:sz w:val="32"/>
          <w:szCs w:val="32"/>
          <w:shd w:val="clear" w:fill="FFFFFF"/>
          <w:lang w:val="en-US" w:eastAsia="zh-CN" w:bidi="ar"/>
        </w:rPr>
        <w:t>六、预决算公开方式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本部门预决算公开统一在县政府门户网站预决算公开专栏上集中</w:t>
      </w:r>
      <w:r>
        <w:rPr>
          <w:rFonts w:hint="eastAsia" w:ascii="仿宋" w:hAnsi="仿宋" w:eastAsia="仿宋" w:cs="仿宋"/>
          <w:i w:val="0"/>
          <w:caps w:val="0"/>
          <w:color w:val="333333"/>
          <w:spacing w:val="0"/>
          <w:kern w:val="0"/>
          <w:sz w:val="32"/>
          <w:szCs w:val="32"/>
          <w:shd w:val="clear" w:fill="FFFFFF"/>
          <w:lang w:val="en-US" w:eastAsia="zh-CN" w:bidi="ar"/>
        </w:rPr>
        <w:t>向社会</w:t>
      </w:r>
      <w:r>
        <w:rPr>
          <w:rFonts w:hint="eastAsia" w:ascii="仿宋" w:hAnsi="仿宋" w:eastAsia="仿宋" w:cs="仿宋"/>
          <w:i w:val="0"/>
          <w:caps w:val="0"/>
          <w:color w:val="444444"/>
          <w:spacing w:val="0"/>
          <w:kern w:val="0"/>
          <w:sz w:val="32"/>
          <w:szCs w:val="32"/>
          <w:shd w:val="clear" w:fill="FFFFFF"/>
          <w:lang w:val="en-US" w:eastAsia="zh-CN" w:bidi="ar"/>
        </w:rPr>
        <w:t>公开，并永久保留。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3"/>
        <w:jc w:val="left"/>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FFFFF"/>
          <w:lang w:val="en-US" w:eastAsia="zh-CN" w:bidi="ar"/>
        </w:rPr>
        <w:t>七、保障措施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444444"/>
          <w:spacing w:val="0"/>
          <w:kern w:val="0"/>
          <w:sz w:val="32"/>
          <w:szCs w:val="32"/>
          <w:shd w:val="clear" w:fill="FFFFFF"/>
          <w:lang w:val="en-US" w:eastAsia="zh-CN" w:bidi="ar"/>
        </w:rPr>
        <w:t>根据县级财政部门制作的公开模板、预决算公开格式、预决算公开口径进行规范、统一的预决算公开。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F3416"/>
    <w:rsid w:val="10601EB3"/>
    <w:rsid w:val="248A1F22"/>
    <w:rsid w:val="2B874A68"/>
    <w:rsid w:val="38A7610A"/>
    <w:rsid w:val="4099138D"/>
    <w:rsid w:val="4807419D"/>
    <w:rsid w:val="4D0F3EE4"/>
    <w:rsid w:val="5653274E"/>
    <w:rsid w:val="6FF91D9A"/>
    <w:rsid w:val="71832B61"/>
    <w:rsid w:val="7367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2024-03-04T06:33:36Z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