
<file path=[Content_Types].xml><?xml version="1.0" encoding="utf-8"?>
<Types xmlns="http://schemas.openxmlformats.org/package/2006/content-types">
  <Default Extension="rels" ContentType="application/vnd.openxmlformats-package.relationships+xml"/>
  <Default Extension="xml" ContentType="application/xml"/>
  <Override ContentType="application/xml" PartName="/customXml/item1.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footer+xml" PartName="/word/footer14.xml"/>
  <Override ContentType="application/vnd.openxmlformats-officedocument.wordprocessingml.footer+xml" PartName="/word/footer15.xml"/>
  <Override ContentType="application/vnd.openxmlformats-officedocument.wordprocessingml.footer+xml" PartName="/word/footer16.xml"/>
  <Override ContentType="application/vnd.openxmlformats-officedocument.wordprocessingml.footer+xml" PartName="/word/footer17.xml"/>
  <Override ContentType="application/vnd.openxmlformats-officedocument.wordprocessingml.footer+xml" PartName="/word/footer18.xml"/>
  <Override ContentType="application/vnd.openxmlformats-officedocument.wordprocessingml.footer+xml" PartName="/word/footer19.xml"/>
  <Override ContentType="application/vnd.openxmlformats-officedocument.wordprocessingml.footer+xml" PartName="/word/footer2.xml"/>
  <Override ContentType="application/vnd.openxmlformats-officedocument.wordprocessingml.footer+xml" PartName="/word/footer20.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app.xml" Type="http://schemas.openxmlformats.org/officeDocument/2006/relationships/extended-properties" Id="rId2"/>
    <Relationship Target="docProps/core.xml" Type="http://schemas.openxmlformats.org/package/2006/relationships/metadata/core-properties" Id="rId3"/>
    <Relationship Target="docProps/custom.xml" Type="http://schemas.openxmlformats.org/officeDocument/2006/relationships/custom-properties"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2.0 -->
  <w:body>
    <w:p w14:paraId="2945DC3E">
      <w:pPr>
        <w:spacing w:line="360" w:lineRule="auto"/>
        <w:jc w:val="center"/>
        <w:rPr>
          <w:rFonts w:ascii="宋体" w:hAnsi="宋体"/>
          <w:sz w:val="24"/>
        </w:rPr>
      </w:pPr>
    </w:p>
    <w:p w14:paraId="781F0199">
      <w:pPr>
        <w:spacing w:line="360" w:lineRule="auto"/>
        <w:jc w:val="center"/>
        <w:rPr>
          <w:rFonts w:ascii="宋体" w:hAnsi="宋体"/>
          <w:sz w:val="24"/>
        </w:rPr>
      </w:pPr>
    </w:p>
    <w:p w14:paraId="588D4AEF">
      <w:pPr>
        <w:spacing w:line="360" w:lineRule="auto"/>
        <w:jc w:val="center"/>
        <w:rPr>
          <w:rFonts w:ascii="宋体" w:hAnsi="宋体"/>
          <w:sz w:val="24"/>
        </w:rPr>
      </w:pPr>
    </w:p>
    <w:p w14:paraId="3F809282">
      <w:pPr>
        <w:spacing w:line="360" w:lineRule="auto"/>
        <w:jc w:val="center"/>
        <w:rPr>
          <w:rFonts w:ascii="宋体" w:hAnsi="宋体"/>
          <w:sz w:val="24"/>
        </w:rPr>
      </w:pPr>
    </w:p>
    <w:p w14:paraId="10AE6DF7">
      <w:pPr>
        <w:widowControl/>
        <w:jc w:val="center"/>
        <w:rPr>
          <w:sz w:val="32"/>
          <w:szCs w:val="32"/>
          <w:highlight w:val="none"/>
        </w:rPr>
      </w:pPr>
    </w:p>
    <w:p w14:paraId="3E466969">
      <w:pPr>
        <w:widowControl/>
        <w:jc w:val="both"/>
        <w:rPr>
          <w:sz w:val="84"/>
          <w:szCs w:val="84"/>
          <w:highlight w:val="none"/>
        </w:rPr>
      </w:pPr>
    </w:p>
    <w:p w14:paraId="14E47F14">
      <w:pPr>
        <w:widowControl/>
        <w:jc w:val="center"/>
        <w:rPr>
          <w:rFonts w:ascii="方正小标宋简体" w:eastAsia="方正小标宋简体" w:hint="eastAsia"/>
          <w:b/>
          <w:bCs/>
          <w:sz w:val="84"/>
          <w:szCs w:val="84"/>
          <w:highlight w:val="none"/>
        </w:rPr>
      </w:pPr>
      <w:r>
        <w:rPr>
          <w:rFonts w:ascii="方正小标宋简体" w:eastAsia="方正小标宋简体" w:hint="eastAsia"/>
          <w:b/>
          <w:bCs/>
          <w:sz w:val="84"/>
          <w:szCs w:val="84"/>
          <w:highlight w:val="none"/>
          <w:lang w:val="en-US" w:eastAsia="zh-CN"/>
        </w:rPr>
        <w:t>2025</w:t>
      </w:r>
      <w:r>
        <w:rPr>
          <w:rFonts w:ascii="方正小标宋简体" w:eastAsia="方正小标宋简体" w:hint="eastAsia"/>
          <w:b/>
          <w:bCs/>
          <w:sz w:val="84"/>
          <w:szCs w:val="84"/>
          <w:highlight w:val="none"/>
        </w:rPr>
        <w:t>年度</w:t>
      </w:r>
      <w:bookmarkStart w:id="0" w:name="_GoBack"/>
      <w:bookmarkEnd w:id="0"/>
    </w:p>
    <w:p w14:paraId="2612820C">
      <w:pPr>
        <w:widowControl/>
        <w:jc w:val="center"/>
        <w:rPr>
          <w:rFonts w:ascii="方正小标宋简体" w:eastAsia="方正小标宋简体" w:hint="eastAsia"/>
          <w:b/>
          <w:bCs/>
          <w:sz w:val="84"/>
          <w:szCs w:val="84"/>
          <w:highlight w:val="none"/>
        </w:rPr>
      </w:pPr>
      <w:r>
        <w:rPr>
          <w:rFonts w:ascii="方正小标宋简体" w:eastAsia="方正小标宋简体" w:hint="eastAsia"/>
          <w:b/>
          <w:bCs/>
          <w:sz w:val="84"/>
          <w:szCs w:val="84"/>
          <w:highlight w:val="none"/>
        </w:rPr>
        <w:t>中共泰宁县委社会工作部汇总</w:t>
      </w:r>
    </w:p>
    <w:p w14:paraId="25C05BAC">
      <w:pPr>
        <w:widowControl/>
        <w:jc w:val="center"/>
        <w:rPr>
          <w:rFonts w:ascii="方正小标宋简体" w:eastAsia="方正小标宋简体" w:hint="eastAsia"/>
          <w:b/>
          <w:bCs/>
          <w:sz w:val="84"/>
          <w:szCs w:val="84"/>
          <w:highlight w:val="none"/>
          <w:lang w:val="en-US" w:eastAsia="zh-CN"/>
        </w:rPr>
        <w:sectPr>
          <w:footerReference w:type="default" r:id="rId5"/>
          <w:pgSz w:w="11906" w:h="16838"/>
          <w:pgMar w:top="1440" w:right="1083" w:bottom="1440" w:left="1083" w:header="0" w:footer="720" w:gutter="0"/>
          <w:pgBorders>
            <w:top w:val="none" w:sz="0" w:space="0" w:color="auto"/>
            <w:left w:val="none" w:sz="0" w:space="0" w:color="auto"/>
            <w:bottom w:val="none" w:sz="0" w:space="0" w:color="auto"/>
            <w:right w:val="none" w:sz="0" w:space="0" w:color="auto"/>
          </w:pgBorders>
          <w:pgNumType w:fmt="decimal"/>
          <w:cols w:num="1" w:space="0"/>
          <w:titlePg/>
          <w:rtlGutter w:val="0"/>
          <w:docGrid w:type="lines" w:linePitch="317" w:charSpace="0"/>
        </w:sectPr>
      </w:pPr>
      <w:r>
        <w:rPr>
          <w:rFonts w:ascii="方正小标宋简体" w:eastAsia="方正小标宋简体" w:hint="eastAsia"/>
          <w:b/>
          <w:bCs/>
          <w:sz w:val="84"/>
          <w:u w:val="none" w:color="auto"/>
          <w:lang w:val="en-US" w:eastAsia="zh-CN"/>
        </w:rPr>
        <w:t>部门</w:t>
      </w:r>
      <w:r>
        <w:rPr>
          <w:rFonts w:ascii="方正小标宋简体" w:eastAsia="方正小标宋简体" w:hint="eastAsia"/>
          <w:b/>
          <w:bCs/>
          <w:sz w:val="84"/>
          <w:szCs w:val="84"/>
          <w:highlight w:val="none"/>
        </w:rPr>
        <w:t>决算</w:t>
      </w:r>
    </w:p>
    <w:sdt>
      <w:sdtPr>
        <w:rPr>
          <w:rFonts w:ascii="仿宋" w:eastAsia="仿宋" w:hAnsi="仿宋" w:cs="仿宋" w:hint="eastAsia"/>
          <w:b/>
          <w:bCs/>
          <w:kern w:val="0"/>
          <w:sz w:val="32"/>
          <w:szCs w:val="32"/>
          <w:lang w:val="en-US" w:eastAsia="zh-CN"/>
        </w:rPr>
        <w:id w:val="147456983"/>
        <w:docPartObj>
          <w:docPartGallery w:val="Table of Contents"/>
          <w:docPartUnique/>
        </w:docPartObj>
        <w15:color w:val="DBDBDB"/>
      </w:sdtPr>
      <w:sdtEndPr>
        <w:rPr>
          <w:rFonts w:ascii="宋体" w:eastAsia="宋体" w:hAnsi="宋体" w:cs="Times New Roman" w:hint="eastAsia"/>
          <w:b/>
          <w:bCs/>
          <w:kern w:val="2"/>
          <w:sz w:val="32"/>
          <w:szCs w:val="32"/>
          <w:lang w:val="en-US" w:eastAsia="zh-CN" w:bidi="ar-SA"/>
        </w:rPr>
      </w:sdtEndPr>
      <w:sdtContent>
        <w:p w14:paraId="54EB9CAB">
          <w:pPr>
            <w:widowControl/>
            <w:spacing w:before="0" w:beforeLines="0" w:after="0" w:afterLines="0" w:line="240" w:lineRule="auto"/>
            <w:ind w:left="0" w:right="0" w:firstLine="0" w:leftChars="0" w:rightChars="0" w:firstLineChars="0"/>
            <w:jc w:val="center"/>
            <w:rPr>
              <w:rFonts w:ascii="仿宋" w:eastAsia="仿宋" w:hAnsi="仿宋" w:cs="仿宋" w:hint="eastAsia"/>
              <w:b/>
              <w:bCs/>
              <w:kern w:val="0"/>
              <w:sz w:val="32"/>
              <w:szCs w:val="32"/>
            </w:rPr>
          </w:pPr>
          <w:r>
            <w:rPr>
              <w:rFonts w:ascii="仿宋" w:eastAsia="仿宋" w:hAnsi="仿宋" w:cs="仿宋" w:hint="eastAsia"/>
              <w:b/>
              <w:bCs/>
              <w:kern w:val="0"/>
              <w:sz w:val="32"/>
              <w:szCs w:val="32"/>
            </w:rPr>
            <w:t>目</w:t>
          </w:r>
          <w:r>
            <w:rPr>
              <w:rFonts w:ascii="仿宋" w:eastAsia="仿宋" w:hAnsi="仿宋" w:cs="仿宋" w:hint="eastAsia"/>
              <w:b/>
              <w:bCs/>
              <w:kern w:val="0"/>
              <w:sz w:val="32"/>
              <w:szCs w:val="32"/>
              <w:lang w:val="en-US" w:eastAsia="zh-CN"/>
            </w:rPr>
            <w:t xml:space="preserve"> </w:t>
          </w:r>
          <w:r>
            <w:rPr>
              <w:rFonts w:ascii="仿宋" w:eastAsia="仿宋" w:hAnsi="仿宋" w:cs="仿宋" w:hint="eastAsia"/>
              <w:b/>
              <w:bCs/>
              <w:kern w:val="0"/>
              <w:sz w:val="32"/>
              <w:szCs w:val="32"/>
            </w:rPr>
            <w:t>录</w:t>
          </w:r>
        </w:p>
        <w:p>
          <w:pPr>
            <w:pStyle w:val="TOC2"/>
            <w:tabs>
              <w:tab w:val="right" w:leader="dot" w:pos="9730"/>
            </w:tabs>
            <w:rPr>
              <w:rFonts w:asciiTheme="minorHAnsi" w:hAnsiTheme="minorHAnsi"/>
              <w:noProof/>
              <w:sz w:val="22"/>
            </w:rPr>
          </w:pPr>
          <w:r>
            <w:rPr>
              <w:rFonts w:ascii="仿宋" w:eastAsia="仿宋" w:hAnsi="仿宋" w:cs="仿宋" w:hint="eastAsia"/>
              <w:b w:val="0"/>
              <w:bCs/>
              <w:kern w:val="2"/>
              <w:sz w:val="32"/>
              <w:szCs w:val="32"/>
              <w:lang w:val="en-US" w:eastAsia="zh-CN" w:bidi="ar-SA"/>
            </w:rPr>
            <w:fldChar w:fldCharType="begin"/>
          </w:r>
          <w:r>
            <w:rPr>
              <w:rFonts w:ascii="仿宋" w:eastAsia="仿宋" w:hAnsi="仿宋" w:cs="仿宋" w:hint="eastAsia"/>
              <w:b w:val="0"/>
              <w:bCs/>
              <w:kern w:val="2"/>
              <w:sz w:val="32"/>
              <w:szCs w:val="32"/>
              <w:lang w:val="en-US" w:eastAsia="zh-CN" w:bidi="ar-SA"/>
            </w:rPr>
            <w:instrText xml:space="preserve">TOC \o "1-3" \h \u </w:instrText>
          </w:r>
          <w:r>
            <w:rPr>
              <w:rFonts w:ascii="仿宋" w:eastAsia="仿宋" w:hAnsi="仿宋" w:cs="仿宋" w:hint="eastAsia"/>
              <w:b w:val="0"/>
              <w:bCs/>
              <w:kern w:val="2"/>
              <w:sz w:val="32"/>
              <w:szCs w:val="32"/>
              <w:lang w:val="en-US" w:eastAsia="zh-CN" w:bidi="ar-SA"/>
            </w:rPr>
            <w:fldChar w:fldCharType="separate"/>
          </w:r>
          <w:hyperlink w:anchor="_Toc256000054" w:history="1">
            <w:r>
              <w:rPr>
                <w:rStyle w:val="Hyperlink"/>
                <w:rFonts w:ascii="仿宋" w:eastAsia="仿宋" w:hAnsi="仿宋" w:cs="仿宋"/>
              </w:rPr>
              <w:t>第一部分</w:t>
            </w:r>
            <w:r>
              <w:rPr>
                <w:rStyle w:val="Hyperlink"/>
                <w:rFonts w:ascii="SimHei" w:eastAsia="SimHei" w:hAnsi="SimHei" w:cs="SimHei"/>
              </w:rPr>
              <w:t xml:space="preserve"> </w:t>
            </w:r>
            <w:r>
              <w:rPr>
                <w:rStyle w:val="Hyperlink"/>
                <w:rFonts w:ascii="仿宋" w:eastAsia="仿宋" w:hAnsi="仿宋" w:cs="仿宋"/>
              </w:rPr>
              <w:t>部门概况</w:t>
            </w:r>
            <w:r>
              <w:tab/>
            </w:r>
            <w:r>
              <w:fldChar w:fldCharType="begin"/>
            </w:r>
            <w:r>
              <w:instrText xml:space="preserve"> PAGEREF _Toc256000054 \h </w:instrText>
            </w:r>
            <w:r>
              <w:fldChar w:fldCharType="separate"/>
            </w:r>
            <w:r>
              <w:t>1</w:t>
            </w:r>
            <w:r>
              <w:fldChar w:fldCharType="end"/>
            </w:r>
          </w:hyperlink>
        </w:p>
        <w:p>
          <w:pPr>
            <w:pStyle w:val="TOC3"/>
            <w:tabs>
              <w:tab w:val="right" w:leader="dot" w:pos="9730"/>
            </w:tabs>
            <w:rPr>
              <w:rFonts w:asciiTheme="minorHAnsi" w:hAnsiTheme="minorHAnsi"/>
              <w:noProof/>
              <w:sz w:val="22"/>
            </w:rPr>
          </w:pPr>
          <w:hyperlink w:anchor="_Toc256000055" w:history="1">
            <w:r>
              <w:rPr>
                <w:rStyle w:val="Hyperlink"/>
                <w:rFonts w:ascii="仿宋" w:eastAsia="仿宋" w:hAnsi="仿宋" w:cs="仿宋"/>
              </w:rPr>
              <w:t>一、部门主要职责</w:t>
            </w:r>
            <w:r>
              <w:tab/>
            </w:r>
            <w:r>
              <w:fldChar w:fldCharType="begin"/>
            </w:r>
            <w:r>
              <w:instrText xml:space="preserve"> PAGEREF _Toc256000055 \h </w:instrText>
            </w:r>
            <w:r>
              <w:fldChar w:fldCharType="separate"/>
            </w:r>
            <w:r>
              <w:t>2</w:t>
            </w:r>
            <w:r>
              <w:fldChar w:fldCharType="end"/>
            </w:r>
          </w:hyperlink>
        </w:p>
        <w:p>
          <w:pPr>
            <w:pStyle w:val="TOC3"/>
            <w:tabs>
              <w:tab w:val="right" w:leader="dot" w:pos="9730"/>
            </w:tabs>
            <w:rPr>
              <w:rFonts w:asciiTheme="minorHAnsi" w:hAnsiTheme="minorHAnsi"/>
              <w:noProof/>
              <w:sz w:val="22"/>
            </w:rPr>
          </w:pPr>
          <w:hyperlink w:anchor="_Toc256000056" w:history="1">
            <w:r>
              <w:rPr>
                <w:rStyle w:val="Hyperlink"/>
                <w:rFonts w:ascii="仿宋" w:eastAsia="仿宋" w:hAnsi="仿宋" w:cs="仿宋"/>
              </w:rPr>
              <w:t>二、部门决算单位基本情况</w:t>
            </w:r>
            <w:r>
              <w:tab/>
            </w:r>
            <w:r>
              <w:fldChar w:fldCharType="begin"/>
            </w:r>
            <w:r>
              <w:instrText xml:space="preserve"> PAGEREF _Toc256000056 \h </w:instrText>
            </w:r>
            <w:r>
              <w:fldChar w:fldCharType="separate"/>
            </w:r>
            <w:r>
              <w:t>3</w:t>
            </w:r>
            <w:r>
              <w:fldChar w:fldCharType="end"/>
            </w:r>
          </w:hyperlink>
        </w:p>
        <w:p>
          <w:pPr>
            <w:pStyle w:val="TOC3"/>
            <w:tabs>
              <w:tab w:val="right" w:leader="dot" w:pos="9730"/>
            </w:tabs>
            <w:rPr>
              <w:rFonts w:asciiTheme="minorHAnsi" w:hAnsiTheme="minorHAnsi"/>
              <w:noProof/>
              <w:sz w:val="22"/>
            </w:rPr>
          </w:pPr>
          <w:hyperlink w:anchor="_Toc256000057" w:history="1">
            <w:r>
              <w:rPr>
                <w:rStyle w:val="Hyperlink"/>
                <w:rFonts w:ascii="仿宋" w:eastAsia="仿宋" w:hAnsi="仿宋" w:cs="仿宋"/>
              </w:rPr>
              <w:t>三、部门主要工作总结</w:t>
            </w:r>
            <w:r>
              <w:tab/>
            </w:r>
            <w:r>
              <w:fldChar w:fldCharType="begin"/>
            </w:r>
            <w:r>
              <w:instrText xml:space="preserve"> PAGEREF _Toc256000057 \h </w:instrText>
            </w:r>
            <w:r>
              <w:fldChar w:fldCharType="separate"/>
            </w:r>
            <w:r>
              <w:t>3</w:t>
            </w:r>
            <w:r>
              <w:fldChar w:fldCharType="end"/>
            </w:r>
          </w:hyperlink>
        </w:p>
        <w:p>
          <w:pPr>
            <w:pStyle w:val="TOC2"/>
            <w:tabs>
              <w:tab w:val="right" w:leader="dot" w:pos="9730"/>
            </w:tabs>
            <w:rPr>
              <w:rFonts w:asciiTheme="minorHAnsi" w:hAnsiTheme="minorHAnsi"/>
              <w:noProof/>
              <w:sz w:val="22"/>
            </w:rPr>
          </w:pPr>
          <w:hyperlink w:anchor="_Toc256000058" w:history="1">
            <w:r>
              <w:rPr>
                <w:rStyle w:val="Hyperlink"/>
                <w:rFonts w:ascii="仿宋" w:eastAsia="仿宋" w:hAnsi="仿宋" w:cs="仿宋"/>
              </w:rPr>
              <w:t>第二部分</w:t>
            </w:r>
            <w:r>
              <w:rPr>
                <w:rStyle w:val="Hyperlink"/>
                <w:rFonts w:ascii="SimHei" w:eastAsia="SimHei" w:hAnsi="SimHei" w:cs="SimHei"/>
              </w:rPr>
              <w:t xml:space="preserve"> </w:t>
            </w:r>
            <w:r>
              <w:rPr>
                <w:rStyle w:val="Hyperlink"/>
                <w:rFonts w:ascii="仿宋" w:eastAsia="仿宋" w:hAnsi="仿宋" w:cs="仿宋"/>
              </w:rPr>
              <w:t>2025年度部门决算表</w:t>
            </w:r>
            <w:r>
              <w:tab/>
            </w:r>
            <w:r>
              <w:fldChar w:fldCharType="begin"/>
            </w:r>
            <w:r>
              <w:instrText xml:space="preserve"> PAGEREF _Toc256000058 \h </w:instrText>
            </w:r>
            <w:r>
              <w:fldChar w:fldCharType="separate"/>
            </w:r>
            <w:r>
              <w:t>7</w:t>
            </w:r>
            <w:r>
              <w:fldChar w:fldCharType="end"/>
            </w:r>
          </w:hyperlink>
        </w:p>
        <w:p>
          <w:pPr>
            <w:pStyle w:val="TOC3"/>
            <w:tabs>
              <w:tab w:val="right" w:leader="dot" w:pos="9730"/>
            </w:tabs>
            <w:rPr>
              <w:rFonts w:asciiTheme="minorHAnsi" w:hAnsiTheme="minorHAnsi"/>
              <w:noProof/>
              <w:sz w:val="22"/>
            </w:rPr>
          </w:pPr>
          <w:hyperlink w:anchor="_Toc256000059" w:history="1">
            <w:r>
              <w:rPr>
                <w:rStyle w:val="Hyperlink"/>
                <w:rFonts w:ascii="仿宋" w:eastAsia="仿宋" w:hAnsi="仿宋" w:cs="仿宋"/>
              </w:rPr>
              <w:t>一、收入支出决算总表</w:t>
            </w:r>
            <w:r>
              <w:tab/>
            </w:r>
            <w:r>
              <w:fldChar w:fldCharType="begin"/>
            </w:r>
            <w:r>
              <w:instrText xml:space="preserve"> PAGEREF _Toc256000059 \h </w:instrText>
            </w:r>
            <w:r>
              <w:fldChar w:fldCharType="separate"/>
            </w:r>
            <w:r>
              <w:t>8</w:t>
            </w:r>
            <w:r>
              <w:fldChar w:fldCharType="end"/>
            </w:r>
          </w:hyperlink>
        </w:p>
        <w:p>
          <w:pPr>
            <w:pStyle w:val="TOC3"/>
            <w:tabs>
              <w:tab w:val="right" w:leader="dot" w:pos="9730"/>
            </w:tabs>
            <w:rPr>
              <w:rFonts w:asciiTheme="minorHAnsi" w:hAnsiTheme="minorHAnsi"/>
              <w:noProof/>
              <w:sz w:val="22"/>
            </w:rPr>
          </w:pPr>
          <w:hyperlink w:anchor="_Toc256000060" w:history="1">
            <w:r>
              <w:rPr>
                <w:rStyle w:val="Hyperlink"/>
                <w:rFonts w:ascii="仿宋" w:eastAsia="仿宋" w:hAnsi="仿宋" w:cs="仿宋"/>
              </w:rPr>
              <w:t>二、收入决算表</w:t>
            </w:r>
            <w:r>
              <w:tab/>
            </w:r>
            <w:r>
              <w:fldChar w:fldCharType="begin"/>
            </w:r>
            <w:r>
              <w:instrText xml:space="preserve"> PAGEREF _Toc256000060 \h </w:instrText>
            </w:r>
            <w:r>
              <w:fldChar w:fldCharType="separate"/>
            </w:r>
            <w:r>
              <w:t>10</w:t>
            </w:r>
            <w:r>
              <w:fldChar w:fldCharType="end"/>
            </w:r>
          </w:hyperlink>
        </w:p>
        <w:p>
          <w:pPr>
            <w:pStyle w:val="TOC3"/>
            <w:tabs>
              <w:tab w:val="right" w:leader="dot" w:pos="9730"/>
            </w:tabs>
            <w:rPr>
              <w:rFonts w:asciiTheme="minorHAnsi" w:hAnsiTheme="minorHAnsi"/>
              <w:noProof/>
              <w:sz w:val="22"/>
            </w:rPr>
          </w:pPr>
          <w:hyperlink w:anchor="_Toc256000061" w:history="1">
            <w:r>
              <w:rPr>
                <w:rStyle w:val="Hyperlink"/>
                <w:rFonts w:ascii="仿宋" w:eastAsia="仿宋" w:hAnsi="仿宋" w:cs="仿宋"/>
              </w:rPr>
              <w:t>三、支出决算表</w:t>
            </w:r>
            <w:r>
              <w:tab/>
            </w:r>
            <w:r>
              <w:fldChar w:fldCharType="begin"/>
            </w:r>
            <w:r>
              <w:instrText xml:space="preserve"> PAGEREF _Toc256000061 \h </w:instrText>
            </w:r>
            <w:r>
              <w:fldChar w:fldCharType="separate"/>
            </w:r>
            <w:r>
              <w:t>11</w:t>
            </w:r>
            <w:r>
              <w:fldChar w:fldCharType="end"/>
            </w:r>
          </w:hyperlink>
        </w:p>
        <w:p>
          <w:pPr>
            <w:pStyle w:val="TOC3"/>
            <w:tabs>
              <w:tab w:val="right" w:leader="dot" w:pos="9730"/>
            </w:tabs>
            <w:rPr>
              <w:rFonts w:asciiTheme="minorHAnsi" w:hAnsiTheme="minorHAnsi"/>
              <w:noProof/>
              <w:sz w:val="22"/>
            </w:rPr>
          </w:pPr>
          <w:hyperlink w:anchor="_Toc256000062" w:history="1">
            <w:r>
              <w:rPr>
                <w:rStyle w:val="Hyperlink"/>
                <w:rFonts w:ascii="仿宋" w:eastAsia="仿宋" w:hAnsi="仿宋" w:cs="仿宋"/>
              </w:rPr>
              <w:t>四、财政拨款收入支出决算总表</w:t>
            </w:r>
            <w:r>
              <w:tab/>
            </w:r>
            <w:r>
              <w:fldChar w:fldCharType="begin"/>
            </w:r>
            <w:r>
              <w:instrText xml:space="preserve"> PAGEREF _Toc256000062 \h </w:instrText>
            </w:r>
            <w:r>
              <w:fldChar w:fldCharType="separate"/>
            </w:r>
            <w:r>
              <w:t>12</w:t>
            </w:r>
            <w:r>
              <w:fldChar w:fldCharType="end"/>
            </w:r>
          </w:hyperlink>
        </w:p>
        <w:p>
          <w:pPr>
            <w:pStyle w:val="TOC3"/>
            <w:tabs>
              <w:tab w:val="right" w:leader="dot" w:pos="9730"/>
            </w:tabs>
            <w:rPr>
              <w:rFonts w:asciiTheme="minorHAnsi" w:hAnsiTheme="minorHAnsi"/>
              <w:noProof/>
              <w:sz w:val="22"/>
            </w:rPr>
          </w:pPr>
          <w:hyperlink w:anchor="_Toc256000063" w:history="1">
            <w:r>
              <w:rPr>
                <w:rStyle w:val="Hyperlink"/>
                <w:rFonts w:ascii="仿宋" w:eastAsia="仿宋" w:hAnsi="仿宋" w:cs="仿宋"/>
              </w:rPr>
              <w:t>五、一般公共预算财政拨款支出决算表</w:t>
            </w:r>
            <w:r>
              <w:tab/>
            </w:r>
            <w:r>
              <w:fldChar w:fldCharType="begin"/>
            </w:r>
            <w:r>
              <w:instrText xml:space="preserve"> PAGEREF _Toc256000063 \h </w:instrText>
            </w:r>
            <w:r>
              <w:fldChar w:fldCharType="separate"/>
            </w:r>
            <w:r>
              <w:t>15</w:t>
            </w:r>
            <w:r>
              <w:fldChar w:fldCharType="end"/>
            </w:r>
          </w:hyperlink>
        </w:p>
        <w:p>
          <w:pPr>
            <w:pStyle w:val="TOC3"/>
            <w:tabs>
              <w:tab w:val="right" w:leader="dot" w:pos="9730"/>
            </w:tabs>
            <w:rPr>
              <w:rFonts w:asciiTheme="minorHAnsi" w:hAnsiTheme="minorHAnsi"/>
              <w:noProof/>
              <w:sz w:val="22"/>
            </w:rPr>
          </w:pPr>
          <w:hyperlink w:anchor="_Toc256000064" w:history="1">
            <w:r>
              <w:rPr>
                <w:rStyle w:val="Hyperlink"/>
                <w:rFonts w:ascii="仿宋" w:eastAsia="仿宋" w:hAnsi="仿宋" w:cs="仿宋"/>
              </w:rPr>
              <w:t>六、一般公共预算财政拨款基本支出决算表</w:t>
            </w:r>
            <w:r>
              <w:tab/>
            </w:r>
            <w:r>
              <w:fldChar w:fldCharType="begin"/>
            </w:r>
            <w:r>
              <w:instrText xml:space="preserve"> PAGEREF _Toc256000064 \h </w:instrText>
            </w:r>
            <w:r>
              <w:fldChar w:fldCharType="separate"/>
            </w:r>
            <w:r>
              <w:t>16</w:t>
            </w:r>
            <w:r>
              <w:fldChar w:fldCharType="end"/>
            </w:r>
          </w:hyperlink>
        </w:p>
        <w:p>
          <w:pPr>
            <w:pStyle w:val="TOC3"/>
            <w:tabs>
              <w:tab w:val="right" w:leader="dot" w:pos="9730"/>
            </w:tabs>
            <w:rPr>
              <w:rFonts w:asciiTheme="minorHAnsi" w:hAnsiTheme="minorHAnsi"/>
              <w:noProof/>
              <w:sz w:val="22"/>
            </w:rPr>
          </w:pPr>
          <w:hyperlink w:anchor="_Toc256000065" w:history="1">
            <w:r>
              <w:rPr>
                <w:rStyle w:val="Hyperlink"/>
                <w:rFonts w:ascii="仿宋" w:eastAsia="仿宋" w:hAnsi="仿宋" w:cs="仿宋"/>
              </w:rPr>
              <w:t>七、一般公共预算财政拨款“三公”经费支出决算表</w:t>
            </w:r>
            <w:r>
              <w:tab/>
            </w:r>
            <w:r>
              <w:fldChar w:fldCharType="begin"/>
            </w:r>
            <w:r>
              <w:instrText xml:space="preserve"> PAGEREF _Toc256000065 \h </w:instrText>
            </w:r>
            <w:r>
              <w:fldChar w:fldCharType="separate"/>
            </w:r>
            <w:r>
              <w:t>19</w:t>
            </w:r>
            <w:r>
              <w:fldChar w:fldCharType="end"/>
            </w:r>
          </w:hyperlink>
        </w:p>
        <w:p>
          <w:pPr>
            <w:pStyle w:val="TOC3"/>
            <w:tabs>
              <w:tab w:val="right" w:leader="dot" w:pos="9730"/>
            </w:tabs>
            <w:rPr>
              <w:rFonts w:asciiTheme="minorHAnsi" w:hAnsiTheme="minorHAnsi"/>
              <w:noProof/>
              <w:sz w:val="22"/>
            </w:rPr>
          </w:pPr>
          <w:hyperlink w:anchor="_Toc256000066" w:history="1">
            <w:r>
              <w:rPr>
                <w:rStyle w:val="Hyperlink"/>
                <w:rFonts w:ascii="仿宋" w:eastAsia="仿宋" w:hAnsi="仿宋" w:cs="仿宋"/>
              </w:rPr>
              <w:t>八、政府性基金预算财政拨款收入支出决算表</w:t>
            </w:r>
            <w:r>
              <w:tab/>
            </w:r>
            <w:r>
              <w:fldChar w:fldCharType="begin"/>
            </w:r>
            <w:r>
              <w:instrText xml:space="preserve"> PAGEREF _Toc256000066 \h </w:instrText>
            </w:r>
            <w:r>
              <w:fldChar w:fldCharType="separate"/>
            </w:r>
            <w:r>
              <w:t>20</w:t>
            </w:r>
            <w:r>
              <w:fldChar w:fldCharType="end"/>
            </w:r>
          </w:hyperlink>
        </w:p>
        <w:p>
          <w:pPr>
            <w:pStyle w:val="TOC3"/>
            <w:tabs>
              <w:tab w:val="right" w:leader="dot" w:pos="9730"/>
            </w:tabs>
            <w:rPr>
              <w:rFonts w:asciiTheme="minorHAnsi" w:hAnsiTheme="minorHAnsi"/>
              <w:noProof/>
              <w:sz w:val="22"/>
            </w:rPr>
          </w:pPr>
          <w:hyperlink w:anchor="_Toc256000067" w:history="1">
            <w:r>
              <w:rPr>
                <w:rStyle w:val="Hyperlink"/>
                <w:rFonts w:ascii="仿宋" w:eastAsia="仿宋" w:hAnsi="仿宋" w:cs="仿宋"/>
              </w:rPr>
              <w:t>九、国有资本经营预算财政拨款支出决算表</w:t>
            </w:r>
            <w:r>
              <w:tab/>
            </w:r>
            <w:r>
              <w:fldChar w:fldCharType="begin"/>
            </w:r>
            <w:r>
              <w:instrText xml:space="preserve"> PAGEREF _Toc256000067 \h </w:instrText>
            </w:r>
            <w:r>
              <w:fldChar w:fldCharType="separate"/>
            </w:r>
            <w:r>
              <w:t>21</w:t>
            </w:r>
            <w:r>
              <w:fldChar w:fldCharType="end"/>
            </w:r>
          </w:hyperlink>
        </w:p>
        <w:p>
          <w:pPr>
            <w:pStyle w:val="TOC2"/>
            <w:tabs>
              <w:tab w:val="right" w:leader="dot" w:pos="9730"/>
            </w:tabs>
            <w:rPr>
              <w:rFonts w:asciiTheme="minorHAnsi" w:hAnsiTheme="minorHAnsi"/>
              <w:noProof/>
              <w:sz w:val="22"/>
            </w:rPr>
          </w:pPr>
          <w:hyperlink w:anchor="_Toc256000068" w:history="1">
            <w:r>
              <w:rPr>
                <w:rStyle w:val="Hyperlink"/>
                <w:rFonts w:ascii="仿宋" w:eastAsia="仿宋" w:hAnsi="仿宋" w:cs="仿宋"/>
              </w:rPr>
              <w:t>第三部分</w:t>
            </w:r>
            <w:r>
              <w:rPr>
                <w:rStyle w:val="Hyperlink"/>
                <w:rFonts w:ascii="SimHei" w:eastAsia="SimHei" w:hAnsi="SimHei" w:cs="SimHei"/>
              </w:rPr>
              <w:t xml:space="preserve"> </w:t>
            </w:r>
            <w:r>
              <w:rPr>
                <w:rStyle w:val="Hyperlink"/>
                <w:rFonts w:ascii="仿宋" w:eastAsia="仿宋" w:hAnsi="仿宋" w:cs="仿宋"/>
              </w:rPr>
              <w:t>2025年度部门决算情况说明</w:t>
            </w:r>
            <w:r>
              <w:tab/>
            </w:r>
            <w:r>
              <w:fldChar w:fldCharType="begin"/>
            </w:r>
            <w:r>
              <w:instrText xml:space="preserve"> PAGEREF _Toc256000068 \h </w:instrText>
            </w:r>
            <w:r>
              <w:fldChar w:fldCharType="separate"/>
            </w:r>
            <w:r>
              <w:t>22</w:t>
            </w:r>
            <w:r>
              <w:fldChar w:fldCharType="end"/>
            </w:r>
          </w:hyperlink>
        </w:p>
        <w:p>
          <w:pPr>
            <w:pStyle w:val="TOC3"/>
            <w:tabs>
              <w:tab w:val="right" w:leader="dot" w:pos="9730"/>
            </w:tabs>
            <w:rPr>
              <w:rFonts w:asciiTheme="minorHAnsi" w:hAnsiTheme="minorHAnsi"/>
              <w:noProof/>
              <w:sz w:val="22"/>
            </w:rPr>
          </w:pPr>
          <w:hyperlink w:anchor="_Toc256000069" w:history="1">
            <w:r>
              <w:rPr>
                <w:rStyle w:val="Hyperlink"/>
                <w:rFonts w:ascii="仿宋" w:eastAsia="仿宋" w:hAnsi="仿宋" w:cs="仿宋"/>
              </w:rPr>
              <w:t>一、收入支出决算总体情况说明</w:t>
            </w:r>
            <w:r>
              <w:tab/>
            </w:r>
            <w:r>
              <w:fldChar w:fldCharType="begin"/>
            </w:r>
            <w:r>
              <w:instrText xml:space="preserve"> PAGEREF _Toc256000069 \h </w:instrText>
            </w:r>
            <w:r>
              <w:fldChar w:fldCharType="separate"/>
            </w:r>
            <w:r>
              <w:t>23</w:t>
            </w:r>
            <w:r>
              <w:fldChar w:fldCharType="end"/>
            </w:r>
          </w:hyperlink>
        </w:p>
        <w:p>
          <w:pPr>
            <w:pStyle w:val="TOC3"/>
            <w:tabs>
              <w:tab w:val="right" w:leader="dot" w:pos="9730"/>
            </w:tabs>
            <w:rPr>
              <w:rFonts w:asciiTheme="minorHAnsi" w:hAnsiTheme="minorHAnsi"/>
              <w:noProof/>
              <w:sz w:val="22"/>
            </w:rPr>
          </w:pPr>
          <w:hyperlink w:anchor="_Toc256000070" w:history="1">
            <w:r>
              <w:rPr>
                <w:rStyle w:val="Hyperlink"/>
                <w:rFonts w:ascii="仿宋" w:eastAsia="仿宋" w:hAnsi="仿宋" w:cs="仿宋"/>
              </w:rPr>
              <w:t>二、财政拨款收入支出决算总体情况说明</w:t>
            </w:r>
            <w:r>
              <w:tab/>
            </w:r>
            <w:r>
              <w:fldChar w:fldCharType="begin"/>
            </w:r>
            <w:r>
              <w:instrText xml:space="preserve"> PAGEREF _Toc256000070 \h </w:instrText>
            </w:r>
            <w:r>
              <w:fldChar w:fldCharType="separate"/>
            </w:r>
            <w:r>
              <w:t>24</w:t>
            </w:r>
            <w:r>
              <w:fldChar w:fldCharType="end"/>
            </w:r>
          </w:hyperlink>
        </w:p>
        <w:p>
          <w:pPr>
            <w:pStyle w:val="TOC3"/>
            <w:tabs>
              <w:tab w:val="right" w:leader="dot" w:pos="9730"/>
            </w:tabs>
            <w:rPr>
              <w:rFonts w:asciiTheme="minorHAnsi" w:hAnsiTheme="minorHAnsi"/>
              <w:noProof/>
              <w:sz w:val="22"/>
            </w:rPr>
          </w:pPr>
          <w:hyperlink w:anchor="_Toc256000071" w:history="1">
            <w:r>
              <w:rPr>
                <w:rStyle w:val="Hyperlink"/>
                <w:rFonts w:ascii="仿宋" w:eastAsia="仿宋" w:hAnsi="仿宋" w:cs="仿宋"/>
              </w:rPr>
              <w:t>三、一般公共预算财政拨款支出决算情况说明</w:t>
            </w:r>
            <w:r>
              <w:tab/>
            </w:r>
            <w:r>
              <w:fldChar w:fldCharType="begin"/>
            </w:r>
            <w:r>
              <w:instrText xml:space="preserve"> PAGEREF _Toc256000071 \h </w:instrText>
            </w:r>
            <w:r>
              <w:fldChar w:fldCharType="separate"/>
            </w:r>
            <w:r>
              <w:t>24</w:t>
            </w:r>
            <w:r>
              <w:fldChar w:fldCharType="end"/>
            </w:r>
          </w:hyperlink>
        </w:p>
        <w:p>
          <w:pPr>
            <w:pStyle w:val="TOC3"/>
            <w:tabs>
              <w:tab w:val="right" w:leader="dot" w:pos="9730"/>
            </w:tabs>
            <w:rPr>
              <w:rFonts w:asciiTheme="minorHAnsi" w:hAnsiTheme="minorHAnsi"/>
              <w:noProof/>
              <w:sz w:val="22"/>
            </w:rPr>
          </w:pPr>
          <w:hyperlink w:anchor="_Toc256000072" w:history="1">
            <w:r>
              <w:rPr>
                <w:rStyle w:val="Hyperlink"/>
                <w:rFonts w:ascii="仿宋" w:eastAsia="仿宋" w:hAnsi="仿宋" w:cs="仿宋"/>
              </w:rPr>
              <w:t>四、政府性基金预算财政拨款支出决算情况说明</w:t>
            </w:r>
            <w:r>
              <w:tab/>
            </w:r>
            <w:r>
              <w:fldChar w:fldCharType="begin"/>
            </w:r>
            <w:r>
              <w:instrText xml:space="preserve"> PAGEREF _Toc256000072 \h </w:instrText>
            </w:r>
            <w:r>
              <w:fldChar w:fldCharType="separate"/>
            </w:r>
            <w:r>
              <w:t>25</w:t>
            </w:r>
            <w:r>
              <w:fldChar w:fldCharType="end"/>
            </w:r>
          </w:hyperlink>
        </w:p>
        <w:p>
          <w:pPr>
            <w:pStyle w:val="TOC3"/>
            <w:tabs>
              <w:tab w:val="right" w:leader="dot" w:pos="9730"/>
            </w:tabs>
            <w:rPr>
              <w:rFonts w:asciiTheme="minorHAnsi" w:hAnsiTheme="minorHAnsi"/>
              <w:noProof/>
              <w:sz w:val="22"/>
            </w:rPr>
          </w:pPr>
          <w:hyperlink w:anchor="_Toc256000073" w:history="1">
            <w:r>
              <w:rPr>
                <w:rStyle w:val="Hyperlink"/>
                <w:rFonts w:ascii="仿宋" w:eastAsia="仿宋" w:hAnsi="仿宋" w:cs="仿宋"/>
              </w:rPr>
              <w:t>五、国有资本经营预算财政拨款支出决算情况说明</w:t>
            </w:r>
            <w:r>
              <w:tab/>
            </w:r>
            <w:r>
              <w:fldChar w:fldCharType="begin"/>
            </w:r>
            <w:r>
              <w:instrText xml:space="preserve"> PAGEREF _Toc256000073 \h </w:instrText>
            </w:r>
            <w:r>
              <w:fldChar w:fldCharType="separate"/>
            </w:r>
            <w:r>
              <w:t>25</w:t>
            </w:r>
            <w:r>
              <w:fldChar w:fldCharType="end"/>
            </w:r>
          </w:hyperlink>
        </w:p>
        <w:p>
          <w:pPr>
            <w:pStyle w:val="TOC3"/>
            <w:tabs>
              <w:tab w:val="right" w:leader="dot" w:pos="9730"/>
            </w:tabs>
            <w:rPr>
              <w:rFonts w:asciiTheme="minorHAnsi" w:hAnsiTheme="minorHAnsi"/>
              <w:noProof/>
              <w:sz w:val="22"/>
            </w:rPr>
          </w:pPr>
          <w:hyperlink w:anchor="_Toc256000074" w:history="1">
            <w:r>
              <w:rPr>
                <w:rStyle w:val="Hyperlink"/>
                <w:rFonts w:ascii="仿宋" w:eastAsia="仿宋" w:hAnsi="仿宋" w:cs="仿宋"/>
              </w:rPr>
              <w:t>六、一般公共预算财政拨款基本支出决算情况说明</w:t>
            </w:r>
            <w:r>
              <w:tab/>
            </w:r>
            <w:r>
              <w:fldChar w:fldCharType="begin"/>
            </w:r>
            <w:r>
              <w:instrText xml:space="preserve"> PAGEREF _Toc256000074 \h </w:instrText>
            </w:r>
            <w:r>
              <w:fldChar w:fldCharType="separate"/>
            </w:r>
            <w:r>
              <w:t>25</w:t>
            </w:r>
            <w:r>
              <w:fldChar w:fldCharType="end"/>
            </w:r>
          </w:hyperlink>
        </w:p>
        <w:p>
          <w:pPr>
            <w:pStyle w:val="TOC3"/>
            <w:tabs>
              <w:tab w:val="right" w:leader="dot" w:pos="9730"/>
            </w:tabs>
            <w:rPr>
              <w:rFonts w:asciiTheme="minorHAnsi" w:hAnsiTheme="minorHAnsi"/>
              <w:noProof/>
              <w:sz w:val="22"/>
            </w:rPr>
          </w:pPr>
          <w:hyperlink w:anchor="_Toc256000075" w:history="1">
            <w:r>
              <w:rPr>
                <w:rStyle w:val="Hyperlink"/>
                <w:rFonts w:ascii="仿宋" w:eastAsia="仿宋" w:hAnsi="仿宋" w:cs="仿宋"/>
              </w:rPr>
              <w:t>七、一般公共预算财政拨款“三公”经费支出决算情况说明</w:t>
            </w:r>
            <w:r>
              <w:tab/>
            </w:r>
            <w:r>
              <w:fldChar w:fldCharType="begin"/>
            </w:r>
            <w:r>
              <w:instrText xml:space="preserve"> PAGEREF _Toc256000075 \h </w:instrText>
            </w:r>
            <w:r>
              <w:fldChar w:fldCharType="separate"/>
            </w:r>
            <w:r>
              <w:t>25</w:t>
            </w:r>
            <w:r>
              <w:fldChar w:fldCharType="end"/>
            </w:r>
          </w:hyperlink>
        </w:p>
        <w:p>
          <w:pPr>
            <w:pStyle w:val="TOC3"/>
            <w:tabs>
              <w:tab w:val="right" w:leader="dot" w:pos="9730"/>
            </w:tabs>
            <w:rPr>
              <w:rFonts w:asciiTheme="minorHAnsi" w:hAnsiTheme="minorHAnsi"/>
              <w:noProof/>
              <w:sz w:val="22"/>
            </w:rPr>
          </w:pPr>
          <w:hyperlink w:anchor="_Toc256000076" w:history="1">
            <w:r>
              <w:rPr>
                <w:rStyle w:val="Hyperlink"/>
                <w:rFonts w:ascii="仿宋" w:eastAsia="仿宋" w:hAnsi="仿宋" w:cs="仿宋"/>
              </w:rPr>
              <w:t>八、预算绩效情况说明</w:t>
            </w:r>
            <w:r>
              <w:tab/>
            </w:r>
            <w:r>
              <w:fldChar w:fldCharType="begin"/>
            </w:r>
            <w:r>
              <w:instrText xml:space="preserve"> PAGEREF _Toc256000076 \h </w:instrText>
            </w:r>
            <w:r>
              <w:fldChar w:fldCharType="separate"/>
            </w:r>
            <w:r>
              <w:t>26</w:t>
            </w:r>
            <w:r>
              <w:fldChar w:fldCharType="end"/>
            </w:r>
          </w:hyperlink>
        </w:p>
        <w:p>
          <w:pPr>
            <w:pStyle w:val="TOC3"/>
            <w:tabs>
              <w:tab w:val="right" w:leader="dot" w:pos="9730"/>
            </w:tabs>
            <w:rPr>
              <w:rFonts w:asciiTheme="minorHAnsi" w:hAnsiTheme="minorHAnsi"/>
              <w:noProof/>
              <w:sz w:val="22"/>
            </w:rPr>
          </w:pPr>
          <w:hyperlink w:anchor="_Toc256000077" w:history="1">
            <w:r>
              <w:rPr>
                <w:rStyle w:val="Hyperlink"/>
                <w:rFonts w:ascii="仿宋" w:eastAsia="仿宋" w:hAnsi="仿宋" w:cs="仿宋"/>
              </w:rPr>
              <w:t>九、其他重要事项说明</w:t>
            </w:r>
            <w:r>
              <w:tab/>
            </w:r>
            <w:r>
              <w:fldChar w:fldCharType="begin"/>
            </w:r>
            <w:r>
              <w:instrText xml:space="preserve"> PAGEREF _Toc256000077 \h </w:instrText>
            </w:r>
            <w:r>
              <w:fldChar w:fldCharType="separate"/>
            </w:r>
            <w:r>
              <w:t>26</w:t>
            </w:r>
            <w:r>
              <w:fldChar w:fldCharType="end"/>
            </w:r>
          </w:hyperlink>
        </w:p>
        <w:p>
          <w:pPr>
            <w:pStyle w:val="TOC2"/>
            <w:tabs>
              <w:tab w:val="right" w:leader="dot" w:pos="9730"/>
            </w:tabs>
            <w:rPr>
              <w:rFonts w:asciiTheme="minorHAnsi" w:hAnsiTheme="minorHAnsi"/>
              <w:noProof/>
              <w:sz w:val="22"/>
            </w:rPr>
          </w:pPr>
          <w:hyperlink w:anchor="_Toc256000079" w:history="1">
            <w:r>
              <w:rPr>
                <w:rStyle w:val="Hyperlink"/>
                <w:rFonts w:ascii="仿宋" w:eastAsia="仿宋" w:hAnsi="仿宋" w:cs="仿宋"/>
              </w:rPr>
              <w:t>第四部分</w:t>
            </w:r>
            <w:r>
              <w:rPr>
                <w:rStyle w:val="Hyperlink"/>
                <w:rFonts w:ascii="SimHei" w:eastAsia="SimHei" w:hAnsi="SimHei" w:cs="SimHei"/>
              </w:rPr>
              <w:t xml:space="preserve"> </w:t>
            </w:r>
            <w:r>
              <w:rPr>
                <w:rStyle w:val="Hyperlink"/>
                <w:rFonts w:ascii="仿宋" w:eastAsia="仿宋" w:hAnsi="仿宋" w:cs="仿宋"/>
              </w:rPr>
              <w:t>名词解释</w:t>
            </w:r>
            <w:r>
              <w:tab/>
            </w:r>
            <w:r>
              <w:fldChar w:fldCharType="begin"/>
            </w:r>
            <w:r>
              <w:instrText xml:space="preserve"> PAGEREF _Toc256000079 \h </w:instrText>
            </w:r>
            <w:r>
              <w:fldChar w:fldCharType="separate"/>
            </w:r>
            <w:r>
              <w:t>28</w:t>
            </w:r>
            <w:r>
              <w:fldChar w:fldCharType="end"/>
            </w:r>
          </w:hyperlink>
        </w:p>
        <w:p>
          <w:pPr>
            <w:pStyle w:val="TOC2"/>
            <w:tabs>
              <w:tab w:val="right" w:leader="dot" w:pos="9730"/>
            </w:tabs>
            <w:rPr>
              <w:rFonts w:asciiTheme="minorHAnsi" w:hAnsiTheme="minorHAnsi"/>
              <w:noProof/>
              <w:sz w:val="22"/>
            </w:rPr>
          </w:pPr>
          <w:hyperlink w:anchor="_Toc256000080" w:history="1">
            <w:r>
              <w:rPr>
                <w:rStyle w:val="Hyperlink"/>
                <w:rFonts w:ascii="仿宋" w:eastAsia="仿宋" w:hAnsi="仿宋" w:cs="仿宋"/>
              </w:rPr>
              <w:t>第五部分</w:t>
            </w:r>
            <w:r>
              <w:rPr>
                <w:rStyle w:val="Hyperlink"/>
                <w:rFonts w:ascii="SimHei" w:eastAsia="SimHei" w:hAnsi="SimHei" w:cs="SimHei"/>
              </w:rPr>
              <w:t xml:space="preserve"> </w:t>
            </w:r>
            <w:r>
              <w:rPr>
                <w:rStyle w:val="Hyperlink"/>
                <w:rFonts w:ascii="仿宋" w:eastAsia="仿宋" w:hAnsi="仿宋" w:cs="仿宋"/>
              </w:rPr>
              <w:t>附件</w:t>
            </w:r>
            <w:r>
              <w:tab/>
            </w:r>
            <w:r>
              <w:fldChar w:fldCharType="begin"/>
            </w:r>
            <w:r>
              <w:instrText xml:space="preserve"> PAGEREF _Toc256000080 \h </w:instrText>
            </w:r>
            <w:r>
              <w:fldChar w:fldCharType="separate"/>
            </w:r>
            <w:r>
              <w:t>31</w:t>
            </w:r>
            <w:r>
              <w:fldChar w:fldCharType="end"/>
            </w:r>
          </w:hyperlink>
        </w:p>
        <w:p>
          <w:pPr>
            <w:adjustRightInd w:val="0"/>
            <w:snapToGrid w:val="0"/>
            <w:rPr>
              <w:rFonts w:ascii="宋体" w:hAnsi="宋体"/>
              <w:b/>
              <w:sz w:val="32"/>
              <w:szCs w:val="32"/>
            </w:rPr>
            <w:sectPr>
              <w:footerReference w:type="default" r:id="rId6"/>
              <w:pgSz w:w="11906" w:h="16838"/>
              <w:pgMar w:top="1440" w:right="1083" w:bottom="1440" w:left="1083" w:header="0" w:footer="720" w:gutter="0"/>
              <w:pgNumType w:start="1"/>
              <w:cols w:num="1" w:space="0"/>
              <w:titlePg w:val="0"/>
              <w:rtlGutter w:val="0"/>
              <w:docGrid w:type="lines" w:linePitch="317" w:charSpace="0"/>
            </w:sectPr>
          </w:pPr>
          <w:r>
            <w:rPr>
              <w:rFonts w:ascii="仿宋" w:eastAsia="仿宋" w:hAnsi="仿宋" w:cs="仿宋" w:hint="eastAsia"/>
              <w:b w:val="0"/>
              <w:bCs/>
              <w:kern w:val="2"/>
              <w:sz w:val="32"/>
              <w:szCs w:val="32"/>
              <w:lang w:val="en-US" w:eastAsia="zh-CN" w:bidi="ar-SA"/>
            </w:rPr>
            <w:fldChar w:fldCharType="end"/>
          </w:r>
        </w:p>
      </w:sdtContent>
    </w:sdt>
    <w:p w14:paraId="70202DA5">
      <w:pPr>
        <w:pStyle w:val="MsoNormal"/>
        <w:widowControl/>
        <w:spacing w:before="100" w:after="100"/>
        <w:ind w:left="100" w:right="100" w:firstLine="0"/>
        <w:jc w:val="left"/>
        <w:rPr>
          <w:rFonts w:ascii="Times New Roman" w:eastAsia="Times New Roman" w:hAnsi="Times New Roman" w:cs="Times New Roman"/>
          <w:kern w:val="0"/>
          <w:sz w:val="24"/>
        </w:rPr>
      </w:pPr>
      <w:bookmarkStart w:id="1" w:name="a000"/>
    </w:p>
    <w:p>
      <w:pPr>
        <w:pStyle w:val="MsoNormal"/>
        <w:widowControl/>
        <w:spacing w:before="100" w:after="100"/>
        <w:ind w:left="100" w:right="100" w:firstLine="0"/>
        <w:jc w:val="left"/>
        <w:rPr>
          <w:rFonts w:ascii="Times New Roman" w:eastAsia="Times New Roman" w:hAnsi="Times New Roman" w:cs="Times New Roman"/>
          <w:kern w:val="0"/>
          <w:sz w:val="24"/>
        </w:rPr>
      </w:pPr>
      <w:r>
        <w:rPr>
          <w:rFonts w:ascii="仿宋" w:eastAsia="仿宋" w:hAnsi="仿宋" w:cs="仿宋"/>
          <w:spacing w:val="0"/>
          <w:kern w:val="0"/>
          <w:sz w:val="32"/>
          <w:szCs w:val="32"/>
        </w:rPr>
        <w:t> </w:t>
      </w:r>
    </w:p>
    <w:p>
      <w:pPr>
        <w:pStyle w:val="MsoNormal"/>
        <w:widowControl/>
        <w:spacing w:before="100" w:after="100"/>
        <w:ind w:left="100" w:right="100" w:firstLine="0"/>
        <w:jc w:val="left"/>
        <w:rPr>
          <w:rFonts w:ascii="Times New Roman" w:eastAsia="Times New Roman" w:hAnsi="Times New Roman" w:cs="Times New Roman"/>
          <w:kern w:val="0"/>
          <w:sz w:val="24"/>
        </w:rPr>
      </w:pPr>
      <w:r>
        <w:rPr>
          <w:rFonts w:ascii="仿宋" w:eastAsia="仿宋" w:hAnsi="仿宋" w:cs="仿宋"/>
          <w:spacing w:val="0"/>
          <w:kern w:val="0"/>
          <w:sz w:val="32"/>
          <w:szCs w:val="32"/>
        </w:rPr>
        <w:t> </w:t>
      </w:r>
    </w:p>
    <w:p>
      <w:pPr>
        <w:pStyle w:val="MsoNormal"/>
        <w:widowControl/>
        <w:spacing w:before="100" w:after="100"/>
        <w:ind w:left="100" w:right="100" w:firstLine="0"/>
        <w:jc w:val="left"/>
        <w:rPr>
          <w:rFonts w:ascii="Times New Roman" w:eastAsia="Times New Roman" w:hAnsi="Times New Roman" w:cs="Times New Roman"/>
          <w:kern w:val="0"/>
          <w:sz w:val="24"/>
        </w:rPr>
      </w:pPr>
      <w:r>
        <w:rPr>
          <w:rFonts w:ascii="仿宋" w:eastAsia="仿宋" w:hAnsi="仿宋" w:cs="仿宋"/>
          <w:spacing w:val="0"/>
          <w:kern w:val="0"/>
          <w:sz w:val="32"/>
          <w:szCs w:val="32"/>
        </w:rPr>
        <w:t> </w:t>
      </w:r>
    </w:p>
    <w:p>
      <w:pPr>
        <w:pStyle w:val="MsoNormal"/>
        <w:widowControl/>
        <w:spacing w:before="100" w:after="100"/>
        <w:ind w:left="100" w:right="100" w:firstLine="0"/>
        <w:jc w:val="left"/>
        <w:rPr>
          <w:rFonts w:ascii="Times New Roman" w:eastAsia="Times New Roman" w:hAnsi="Times New Roman" w:cs="Times New Roman"/>
          <w:kern w:val="0"/>
          <w:sz w:val="24"/>
        </w:rPr>
      </w:pPr>
    </w:p>
    <w:p>
      <w:pPr>
        <w:pStyle w:val="MsoNormal"/>
        <w:widowControl/>
        <w:spacing w:before="100" w:after="100"/>
        <w:ind w:left="100" w:right="100" w:firstLine="0"/>
        <w:jc w:val="left"/>
        <w:rPr>
          <w:rFonts w:ascii="Times New Roman" w:eastAsia="Times New Roman" w:hAnsi="Times New Roman" w:cs="Times New Roman"/>
          <w:kern w:val="0"/>
          <w:sz w:val="24"/>
        </w:rPr>
      </w:pPr>
    </w:p>
    <w:p>
      <w:pPr>
        <w:pStyle w:val="MsoNormal"/>
        <w:widowControl/>
        <w:spacing w:before="100" w:after="100"/>
        <w:ind w:left="100" w:right="100" w:firstLine="0"/>
        <w:jc w:val="left"/>
        <w:rPr>
          <w:rFonts w:ascii="Times New Roman" w:eastAsia="Times New Roman" w:hAnsi="Times New Roman" w:cs="Times New Roman"/>
          <w:kern w:val="0"/>
          <w:sz w:val="24"/>
        </w:rPr>
      </w:pPr>
    </w:p>
    <w:p>
      <w:pPr>
        <w:pStyle w:val="MsoNormal"/>
        <w:widowControl/>
        <w:spacing w:before="100" w:after="100"/>
        <w:ind w:left="100" w:right="100" w:firstLine="0"/>
        <w:jc w:val="left"/>
        <w:rPr>
          <w:rFonts w:ascii="Times New Roman" w:eastAsia="Times New Roman" w:hAnsi="Times New Roman" w:cs="Times New Roman"/>
          <w:kern w:val="0"/>
          <w:sz w:val="24"/>
        </w:rPr>
      </w:pPr>
      <w:r>
        <w:rPr>
          <w:rFonts w:ascii="SimSun" w:eastAsia="SimSun" w:hAnsi="SimSun" w:cs="SimSun"/>
          <w:spacing w:val="0"/>
          <w:kern w:val="0"/>
          <w:sz w:val="36"/>
          <w:szCs w:val="36"/>
        </w:rPr>
        <w:t> </w:t>
      </w:r>
    </w:p>
    <w:p>
      <w:pPr>
        <w:pStyle w:val="p"/>
        <w:widowControl/>
        <w:spacing w:before="100" w:after="100"/>
        <w:ind w:left="100" w:right="100" w:firstLine="0"/>
        <w:jc w:val="center"/>
        <w:rPr>
          <w:rFonts w:ascii="Times New Roman" w:eastAsia="Times New Roman" w:hAnsi="Times New Roman" w:cs="Times New Roman"/>
          <w:kern w:val="0"/>
          <w:sz w:val="24"/>
        </w:rPr>
      </w:pPr>
      <w:r>
        <w:rPr>
          <w:rFonts w:ascii="SimSun" w:eastAsia="SimSun" w:hAnsi="SimSun" w:cs="SimSun"/>
          <w:spacing w:val="0"/>
          <w:kern w:val="0"/>
          <w:sz w:val="36"/>
          <w:szCs w:val="36"/>
        </w:rPr>
        <w:t> </w:t>
      </w:r>
    </w:p>
    <w:p>
      <w:pPr>
        <w:pStyle w:val="p"/>
        <w:widowControl/>
        <w:spacing w:before="100" w:after="100"/>
        <w:ind w:left="100" w:right="100" w:firstLine="0"/>
        <w:jc w:val="center"/>
        <w:rPr>
          <w:rFonts w:ascii="Times New Roman" w:eastAsia="Times New Roman" w:hAnsi="Times New Roman" w:cs="Times New Roman"/>
          <w:kern w:val="0"/>
          <w:sz w:val="24"/>
        </w:rPr>
      </w:pPr>
      <w:r>
        <w:rPr>
          <w:rFonts w:ascii="SimSun" w:eastAsia="SimSun" w:hAnsi="SimSun" w:cs="SimSun"/>
          <w:spacing w:val="0"/>
          <w:kern w:val="0"/>
          <w:sz w:val="36"/>
          <w:szCs w:val="36"/>
        </w:rPr>
        <w:t> </w:t>
      </w:r>
    </w:p>
    <w:p>
      <w:pPr>
        <w:pStyle w:val="Heading2"/>
        <w:keepNext w:val="0"/>
        <w:keepLines w:val="0"/>
        <w:spacing w:before="100" w:after="100" w:line="240" w:lineRule="auto"/>
        <w:ind w:left="100" w:right="100" w:firstLine="0" w:firstLineChars="0"/>
        <w:jc w:val="center"/>
        <w:rPr>
          <w:rFonts w:ascii="Times New Roman" w:eastAsia="Times New Roman" w:hAnsi="Times New Roman" w:cs="Times New Roman"/>
          <w:b/>
          <w:bCs/>
          <w:kern w:val="0"/>
          <w:sz w:val="36"/>
          <w:szCs w:val="36"/>
        </w:rPr>
      </w:pPr>
      <w:bookmarkStart w:id="2" w:name="_Toc256000054"/>
      <w:r>
        <w:rPr>
          <w:rFonts w:ascii="SimHei" w:eastAsia="SimHei" w:hAnsi="SimHei" w:cs="SimHei"/>
          <w:b w:val="0"/>
          <w:bCs w:val="0"/>
          <w:spacing w:val="0"/>
          <w:sz w:val="56"/>
          <w:szCs w:val="56"/>
        </w:rPr>
        <w:t>第一部分</w:t>
      </w:r>
      <w:r>
        <w:rPr>
          <w:rFonts w:ascii="SimHei" w:eastAsia="SimHei" w:hAnsi="SimHei" w:cs="SimHei"/>
          <w:b w:val="0"/>
          <w:bCs w:val="0"/>
          <w:spacing w:val="0"/>
          <w:sz w:val="56"/>
          <w:szCs w:val="56"/>
        </w:rPr>
        <w:br/>
      </w:r>
      <w:r>
        <w:rPr>
          <w:rFonts w:ascii="SimHei" w:eastAsia="SimHei" w:hAnsi="SimHei" w:cs="SimHei"/>
          <w:b w:val="0"/>
          <w:bCs w:val="0"/>
          <w:spacing w:val="0"/>
          <w:sz w:val="56"/>
          <w:szCs w:val="56"/>
        </w:rPr>
        <w:t>部门概况</w:t>
      </w:r>
      <w:bookmarkEnd w:id="2"/>
    </w:p>
    <w:p>
      <w:pPr>
        <w:pStyle w:val="MsoNormal"/>
        <w:widowControl/>
        <w:spacing w:before="100" w:after="100"/>
        <w:ind w:left="100" w:right="100" w:firstLine="0"/>
        <w:jc w:val="center"/>
        <w:rPr>
          <w:rFonts w:ascii="Times New Roman" w:eastAsia="Times New Roman" w:hAnsi="Times New Roman" w:cs="Times New Roman"/>
          <w:kern w:val="0"/>
          <w:sz w:val="24"/>
        </w:rPr>
      </w:pPr>
    </w:p>
    <w:p>
      <w:pPr>
        <w:sectPr>
          <w:footerReference w:type="default" r:id="rId7"/>
          <w:type w:val="nextPage"/>
          <w:pgSz w:w="11906" w:h="16838"/>
          <w:pgMar w:right="720" w:left="720" w:header="720" w:footer="720"/>
          <w:pgNumType w:start="1"/>
          <w:cols w:space="720"/>
          <w:titlePg w:val="0"/>
        </w:sectPr>
      </w:pPr>
    </w:p>
    <w:p>
      <w:pPr>
        <w:widowControl/>
        <w:spacing w:before="240" w:after="240"/>
        <w:jc w:val="left"/>
        <w:rPr>
          <w:rFonts w:ascii="Times New Roman" w:eastAsia="Times New Roman" w:hAnsi="Times New Roman" w:cs="Times New Roman"/>
          <w:vanish/>
          <w:kern w:val="0"/>
          <w:sz w:val="24"/>
        </w:rPr>
      </w:pPr>
      <w:r>
        <w:rPr>
          <w:rFonts w:ascii="Times New Roman" w:eastAsia="Times New Roman" w:hAnsi="Times New Roman" w:cs="Times New Roman"/>
          <w:vanish/>
          <w:kern w:val="0"/>
          <w:sz w:val="24"/>
        </w:rPr>
        <w:t>word page break</w:t>
      </w:r>
    </w:p>
    <w:p>
      <w:pPr>
        <w:widowControl/>
        <w:spacing w:before="240" w:after="240"/>
        <w:jc w:val="left"/>
        <w:rPr>
          <w:rFonts w:ascii="Times New Roman" w:eastAsia="Times New Roman" w:hAnsi="Times New Roman" w:cs="Times New Roman"/>
          <w:kern w:val="0"/>
          <w:sz w:val="24"/>
        </w:rPr>
      </w:pPr>
    </w:p>
    <w:p>
      <w:pPr>
        <w:widowControl/>
        <w:spacing w:before="240" w:after="240"/>
        <w:jc w:val="left"/>
        <w:rPr>
          <w:rFonts w:ascii="Times New Roman" w:eastAsia="Times New Roman" w:hAnsi="Times New Roman" w:cs="Times New Roman"/>
          <w:kern w:val="0"/>
          <w:sz w:val="24"/>
        </w:rPr>
      </w:pPr>
    </w:p>
    <w:p>
      <w:pPr>
        <w:pStyle w:val="Heading3"/>
        <w:keepNext w:val="0"/>
        <w:keepLines w:val="0"/>
        <w:spacing w:before="100" w:after="100" w:line="560" w:lineRule="atLeast"/>
        <w:ind w:left="100" w:right="100" w:firstLine="640" w:firstLineChars="0"/>
        <w:rPr>
          <w:rFonts w:ascii="Times New Roman" w:eastAsia="Times New Roman" w:hAnsi="Times New Roman" w:cs="Times New Roman"/>
          <w:b/>
          <w:bCs/>
          <w:kern w:val="0"/>
          <w:sz w:val="28"/>
          <w:szCs w:val="28"/>
        </w:rPr>
      </w:pPr>
      <w:bookmarkStart w:id="3" w:name="_Toc256000055"/>
      <w:r>
        <w:rPr>
          <w:rFonts w:ascii="SimHei" w:eastAsia="SimHei" w:hAnsi="SimHei" w:cs="SimHei"/>
          <w:b w:val="0"/>
          <w:bCs w:val="0"/>
          <w:spacing w:val="0"/>
        </w:rPr>
        <w:t>一、部门主要职责</w:t>
      </w:r>
      <w:bookmarkEnd w:id="3"/>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中共泰宁县委社会工作部汇总部门的主要职责是：（一）深入贯彻习近平新时代中国特色社会主义思想和党中央有关党内法规以及法律法规等，研究相关理论、政策和规划，组织实施相关地方性法规规章及规范性文件。深入调查研究，及时向县委报告工作情况并提出建议。</w:t>
      </w:r>
      <w:r>
        <w:rPr>
          <w:rFonts w:ascii="FangSong_GB2312" w:eastAsia="FangSong_GB2312" w:hAnsi="FangSong_GB2312" w:cs="FangSong_GB2312"/>
          <w:spacing w:val="0"/>
          <w:kern w:val="0"/>
          <w:sz w:val="32"/>
          <w:szCs w:val="32"/>
        </w:rPr>
        <w:br/>
      </w:r>
      <w:r>
        <w:rPr>
          <w:rFonts w:ascii="FangSong_GB2312" w:eastAsia="FangSong_GB2312" w:hAnsi="FangSong_GB2312" w:cs="FangSong_GB2312"/>
          <w:spacing w:val="0"/>
          <w:kern w:val="0"/>
          <w:sz w:val="32"/>
          <w:szCs w:val="32"/>
        </w:rPr>
        <w:t>（二）负责推动全县信访工作的开展，负责办理人民群众来信，接待群众来访，受理群众通过信访信息系统的投诉，向有关地区和部门转送、交办、移交信访事项并对办理情况进行督查，协调处理跨地区、跨部门、跨行业等重要信访问题，综合反映信访信息，分析研判信访形势，为党委和政府提供决策参考。指导人民建议征集工作，负责征集、办理公民、法人和其他组织提出的意见建议，向县委、县政府及时反映公民、法人和其他组织对党和国家事业发展提出的重要意见建议。</w:t>
      </w:r>
      <w:r>
        <w:rPr>
          <w:rFonts w:ascii="FangSong_GB2312" w:eastAsia="FangSong_GB2312" w:hAnsi="FangSong_GB2312" w:cs="FangSong_GB2312"/>
          <w:spacing w:val="0"/>
          <w:kern w:val="0"/>
          <w:sz w:val="32"/>
          <w:szCs w:val="32"/>
        </w:rPr>
        <w:br/>
      </w:r>
      <w:r>
        <w:rPr>
          <w:rFonts w:ascii="FangSong_GB2312" w:eastAsia="FangSong_GB2312" w:hAnsi="FangSong_GB2312" w:cs="FangSong_GB2312"/>
          <w:spacing w:val="0"/>
          <w:kern w:val="0"/>
          <w:sz w:val="32"/>
          <w:szCs w:val="32"/>
        </w:rPr>
        <w:t>（三）协调推进城乡基层群众自治建设和社区治理工作，指导社区服务体系建设，提出加强和改进城乡基层政权建设的建议，推动基层民主政治建设。</w:t>
      </w:r>
      <w:r>
        <w:rPr>
          <w:rFonts w:ascii="FangSong_GB2312" w:eastAsia="FangSong_GB2312" w:hAnsi="FangSong_GB2312" w:cs="FangSong_GB2312"/>
          <w:spacing w:val="0"/>
          <w:kern w:val="0"/>
          <w:sz w:val="32"/>
          <w:szCs w:val="32"/>
        </w:rPr>
        <w:br/>
      </w:r>
      <w:r>
        <w:rPr>
          <w:rFonts w:ascii="FangSong_GB2312" w:eastAsia="FangSong_GB2312" w:hAnsi="FangSong_GB2312" w:cs="FangSong_GB2312"/>
          <w:spacing w:val="0"/>
          <w:kern w:val="0"/>
          <w:sz w:val="32"/>
          <w:szCs w:val="32"/>
        </w:rPr>
        <w:t>（四）统一领导全县行业协会商会党的工作。指导和统筹混合所有制企业、非公有制企业和新经济组织、新社会组织、新就业群体党建工作，指导协调相关企业单位、社会组织、就业群体中党员的教育、管理和服务工作，研究完善相关领域群众利益协调机制。承担县委非公企业和社会组织工委的日常工作等职责。</w:t>
      </w:r>
      <w:r>
        <w:rPr>
          <w:rFonts w:ascii="FangSong_GB2312" w:eastAsia="FangSong_GB2312" w:hAnsi="FangSong_GB2312" w:cs="FangSong_GB2312"/>
          <w:spacing w:val="0"/>
          <w:kern w:val="0"/>
          <w:sz w:val="32"/>
          <w:szCs w:val="32"/>
        </w:rPr>
        <w:br/>
      </w:r>
      <w:r>
        <w:rPr>
          <w:rFonts w:ascii="FangSong_GB2312" w:eastAsia="FangSong_GB2312" w:hAnsi="FangSong_GB2312" w:cs="FangSong_GB2312"/>
          <w:spacing w:val="0"/>
          <w:kern w:val="0"/>
          <w:sz w:val="32"/>
          <w:szCs w:val="32"/>
        </w:rPr>
        <w:t>（五）负责全县志愿服务工作的统筹规划、协调指导、督促检查。会同有关部门推进社会工作专业人才队伍建设，指导社会工作专业人才队伍建设和志愿者服务记录工作等。</w:t>
      </w:r>
      <w:r>
        <w:rPr>
          <w:rFonts w:ascii="FangSong_GB2312" w:eastAsia="FangSong_GB2312" w:hAnsi="FangSong_GB2312" w:cs="FangSong_GB2312"/>
          <w:spacing w:val="0"/>
          <w:kern w:val="0"/>
          <w:sz w:val="32"/>
          <w:szCs w:val="32"/>
        </w:rPr>
        <w:br/>
      </w:r>
      <w:r>
        <w:rPr>
          <w:rFonts w:ascii="FangSong_GB2312" w:eastAsia="FangSong_GB2312" w:hAnsi="FangSong_GB2312" w:cs="FangSong_GB2312"/>
          <w:spacing w:val="0"/>
          <w:kern w:val="0"/>
          <w:sz w:val="32"/>
          <w:szCs w:val="32"/>
        </w:rPr>
        <w:t>（六）完成市委社会工作部和县委交办的其他任务。</w:t>
      </w:r>
    </w:p>
    <w:p>
      <w:pPr>
        <w:pStyle w:val="Heading3"/>
        <w:keepNext w:val="0"/>
        <w:keepLines w:val="0"/>
        <w:spacing w:before="100" w:after="100" w:line="560" w:lineRule="atLeast"/>
        <w:ind w:left="100" w:right="100" w:firstLine="640" w:firstLineChars="0"/>
        <w:rPr>
          <w:rFonts w:ascii="Times New Roman" w:eastAsia="Times New Roman" w:hAnsi="Times New Roman" w:cs="Times New Roman"/>
          <w:b/>
          <w:bCs/>
          <w:kern w:val="0"/>
          <w:sz w:val="28"/>
          <w:szCs w:val="28"/>
        </w:rPr>
      </w:pPr>
      <w:bookmarkStart w:id="4" w:name="_Toc256000056"/>
      <w:r>
        <w:rPr>
          <w:rFonts w:ascii="SimHei" w:eastAsia="SimHei" w:hAnsi="SimHei" w:cs="SimHei"/>
          <w:b w:val="0"/>
          <w:bCs w:val="0"/>
          <w:spacing w:val="0"/>
        </w:rPr>
        <w:t>二、部门决算单位基本情况</w:t>
      </w:r>
      <w:bookmarkEnd w:id="4"/>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从决算单位构成看，中共泰宁县委社会工作部汇总部门包括1个机关行政处（科、股）室</w:t>
      </w:r>
      <w:r>
        <w:rPr>
          <w:rFonts w:ascii="FangSong_GB2312" w:eastAsia="FangSong_GB2312" w:hAnsi="FangSong_GB2312" w:cs="FangSong_GB2312"/>
          <w:kern w:val="0"/>
          <w:sz w:val="32"/>
          <w:szCs w:val="32"/>
        </w:rPr>
        <w:t>，其中：列入2025年部门决算编制范围的单位详细情况见下表:</w:t>
      </w:r>
    </w:p>
    <w:tbl>
      <w:tblPr>
        <w:tblW w:w="5000" w:type="pct"/>
        <w:tblInd w:w="130" w:type="dxa"/>
        <w:tblBorders>
          <w:top w:val="outset" w:sz="6" w:space="0" w:color="808080"/>
          <w:left w:val="outset" w:sz="6" w:space="0" w:color="808080"/>
          <w:bottom w:val="outset" w:sz="6" w:space="0" w:color="808080"/>
          <w:right w:val="outset" w:sz="6" w:space="0" w:color="808080"/>
        </w:tblBorders>
        <w:tblLayout w:type="fixed"/>
        <w:tblCellMar>
          <w:top w:w="15" w:type="dxa"/>
          <w:left w:w="15" w:type="dxa"/>
          <w:bottom w:w="15" w:type="dxa"/>
          <w:right w:w="15" w:type="dxa"/>
        </w:tblCellMar>
      </w:tblPr>
      <w:tblGrid>
        <w:gridCol w:w="1787"/>
        <w:gridCol w:w="8723"/>
      </w:tblGrid>
      <w:tr>
        <w:tblPrEx>
          <w:tblW w:w="5000" w:type="pct"/>
          <w:tblInd w:w="130" w:type="dxa"/>
          <w:tblBorders>
            <w:top w:val="outset" w:sz="6" w:space="0" w:color="808080"/>
            <w:left w:val="outset" w:sz="6" w:space="0" w:color="808080"/>
            <w:bottom w:val="outset" w:sz="6" w:space="0" w:color="808080"/>
            <w:right w:val="outset" w:sz="6" w:space="0" w:color="808080"/>
          </w:tblBorders>
          <w:tblLayout w:type="fixed"/>
          <w:tblCellMar>
            <w:top w:w="15" w:type="dxa"/>
            <w:left w:w="15" w:type="dxa"/>
            <w:bottom w:w="15" w:type="dxa"/>
            <w:right w:w="15" w:type="dxa"/>
          </w:tblCellMar>
        </w:tblPrEx>
        <w:trPr>
          <w:cantSplit/>
          <w:tblHeader/>
        </w:trPr>
        <w:tc>
          <w:tcPr>
            <w:tcW w:w="1629" w:type="dxa"/>
            <w:tcBorders>
              <w:top w:val="outset" w:sz="6" w:space="0" w:color="808080"/>
              <w:left w:val="outset" w:sz="6" w:space="0" w:color="808080"/>
              <w:bottom w:val="outset" w:sz="6" w:space="0" w:color="808080"/>
              <w:right w:val="outset" w:sz="6" w:space="0" w:color="808080"/>
            </w:tcBorders>
            <w:noWrap w:val="0"/>
            <w:tcMar>
              <w:top w:w="15" w:type="dxa"/>
              <w:left w:w="22" w:type="dxa"/>
              <w:bottom w:w="15" w:type="dxa"/>
              <w:right w:w="22" w:type="dxa"/>
            </w:tcMar>
            <w:vAlign w:val="center"/>
            <w:hideMark/>
          </w:tcPr>
          <w:p>
            <w:pPr>
              <w:widowControl/>
              <w:ind w:firstLine="0"/>
              <w:jc w:val="center"/>
              <w:rPr>
                <w:rFonts w:ascii="SimSun" w:eastAsia="SimSun" w:hAnsi="SimSun" w:cs="SimSun"/>
                <w:b/>
                <w:bCs/>
                <w:i w:val="0"/>
                <w:iCs w:val="0"/>
                <w:smallCaps w:val="0"/>
                <w:color w:val="000000"/>
                <w:spacing w:val="0"/>
                <w:kern w:val="0"/>
                <w:sz w:val="24"/>
              </w:rPr>
            </w:pPr>
            <w:r>
              <w:rPr>
                <w:rFonts w:ascii="宋体" w:eastAsia="宋体" w:hAnsi="宋体" w:cs="宋体"/>
                <w:b/>
                <w:bCs/>
                <w:i w:val="0"/>
                <w:iCs w:val="0"/>
                <w:smallCaps w:val="0"/>
                <w:color w:val="000000"/>
                <w:spacing w:val="0"/>
                <w:kern w:val="0"/>
                <w:sz w:val="21"/>
              </w:rPr>
              <w:t>序号</w:t>
            </w:r>
          </w:p>
        </w:tc>
        <w:tc>
          <w:tcPr>
            <w:tcW w:w="7951" w:type="dxa"/>
            <w:tcBorders>
              <w:top w:val="outset" w:sz="6" w:space="0" w:color="808080"/>
              <w:left w:val="outset" w:sz="6" w:space="0" w:color="808080"/>
              <w:bottom w:val="outset" w:sz="6" w:space="0" w:color="808080"/>
              <w:right w:val="outset" w:sz="6" w:space="0" w:color="808080"/>
            </w:tcBorders>
            <w:noWrap w:val="0"/>
            <w:tcMar>
              <w:top w:w="15" w:type="dxa"/>
              <w:left w:w="22" w:type="dxa"/>
              <w:bottom w:w="15" w:type="dxa"/>
              <w:right w:w="22" w:type="dxa"/>
            </w:tcMar>
            <w:vAlign w:val="center"/>
            <w:hideMark/>
          </w:tcPr>
          <w:p>
            <w:pPr>
              <w:widowControl/>
              <w:ind w:firstLine="0"/>
              <w:jc w:val="center"/>
              <w:rPr>
                <w:rFonts w:ascii="SimSun" w:eastAsia="SimSun" w:hAnsi="SimSun" w:cs="SimSun"/>
                <w:b/>
                <w:bCs/>
                <w:i w:val="0"/>
                <w:iCs w:val="0"/>
                <w:smallCaps w:val="0"/>
                <w:color w:val="000000"/>
                <w:spacing w:val="0"/>
                <w:kern w:val="0"/>
                <w:sz w:val="24"/>
              </w:rPr>
            </w:pPr>
            <w:r>
              <w:rPr>
                <w:rFonts w:ascii="宋体" w:eastAsia="宋体" w:hAnsi="宋体" w:cs="宋体"/>
                <w:b/>
                <w:bCs/>
                <w:i w:val="0"/>
                <w:iCs w:val="0"/>
                <w:smallCaps w:val="0"/>
                <w:color w:val="000000"/>
                <w:spacing w:val="0"/>
                <w:kern w:val="0"/>
                <w:sz w:val="21"/>
              </w:rPr>
              <w:t>单位名称</w:t>
            </w:r>
          </w:p>
        </w:tc>
      </w:tr>
      <w:tr>
        <w:tblPrEx>
          <w:tblW w:w="5000" w:type="pct"/>
          <w:tblInd w:w="130" w:type="dxa"/>
          <w:tblLayout w:type="fixed"/>
          <w:tblCellMar>
            <w:top w:w="15" w:type="dxa"/>
            <w:left w:w="15" w:type="dxa"/>
            <w:bottom w:w="15" w:type="dxa"/>
            <w:right w:w="15" w:type="dxa"/>
          </w:tblCellMar>
        </w:tblPrEx>
        <w:trPr>
          <w:cantSplit/>
        </w:trPr>
        <w:tc>
          <w:tcPr>
            <w:tcW w:w="1629" w:type="dxa"/>
            <w:tcBorders>
              <w:top w:val="outset" w:sz="6" w:space="0" w:color="808080"/>
              <w:left w:val="outset" w:sz="6" w:space="0" w:color="808080"/>
              <w:bottom w:val="outset" w:sz="6" w:space="0" w:color="808080"/>
              <w:right w:val="outset" w:sz="6" w:space="0" w:color="808080"/>
            </w:tcBorders>
            <w:noWrap w:val="0"/>
            <w:tcMar>
              <w:top w:w="15" w:type="dxa"/>
              <w:left w:w="22" w:type="dxa"/>
              <w:bottom w:w="15" w:type="dxa"/>
              <w:right w:w="22" w:type="dxa"/>
            </w:tcMar>
            <w:vAlign w:val="center"/>
            <w:hideMark/>
          </w:tcPr>
          <w:p>
            <w:pPr>
              <w:widowControl/>
              <w:ind w:firstLine="0"/>
              <w:jc w:val="center"/>
              <w:rPr>
                <w:rFonts w:ascii="SimSun" w:eastAsia="SimSun" w:hAnsi="SimSun" w:cs="SimSun"/>
                <w:b w:val="0"/>
                <w:bCs w:val="0"/>
                <w:i w:val="0"/>
                <w:iCs w:val="0"/>
                <w:smallCaps w:val="0"/>
                <w:color w:val="000000"/>
                <w:spacing w:val="0"/>
                <w:kern w:val="0"/>
                <w:sz w:val="24"/>
              </w:rPr>
            </w:pPr>
            <w:r>
              <w:rPr>
                <w:rFonts w:ascii="宋体" w:eastAsia="宋体" w:hAnsi="宋体" w:cs="宋体"/>
                <w:b w:val="0"/>
                <w:bCs w:val="0"/>
                <w:i w:val="0"/>
                <w:iCs w:val="0"/>
                <w:smallCaps w:val="0"/>
                <w:color w:val="000000"/>
                <w:spacing w:val="0"/>
                <w:kern w:val="0"/>
                <w:sz w:val="21"/>
              </w:rPr>
              <w:t>1</w:t>
            </w:r>
          </w:p>
        </w:tc>
        <w:tc>
          <w:tcPr>
            <w:tcW w:w="7951" w:type="dxa"/>
            <w:tcBorders>
              <w:top w:val="outset" w:sz="6" w:space="0" w:color="808080"/>
              <w:left w:val="outset" w:sz="6" w:space="0" w:color="808080"/>
              <w:bottom w:val="outset" w:sz="6" w:space="0" w:color="808080"/>
              <w:right w:val="outset" w:sz="6" w:space="0" w:color="808080"/>
            </w:tcBorders>
            <w:noWrap w:val="0"/>
            <w:tcMar>
              <w:top w:w="15" w:type="dxa"/>
              <w:left w:w="22" w:type="dxa"/>
              <w:bottom w:w="15" w:type="dxa"/>
              <w:right w:w="22" w:type="dxa"/>
            </w:tcMar>
            <w:vAlign w:val="center"/>
            <w:hideMark/>
          </w:tcPr>
          <w:p>
            <w:pPr>
              <w:widowControl/>
              <w:ind w:firstLine="0"/>
              <w:jc w:val="center"/>
              <w:rPr>
                <w:rFonts w:ascii="SimSun" w:eastAsia="SimSun" w:hAnsi="SimSun" w:cs="SimSun"/>
                <w:b w:val="0"/>
                <w:bCs w:val="0"/>
                <w:i w:val="0"/>
                <w:iCs w:val="0"/>
                <w:smallCaps w:val="0"/>
                <w:color w:val="000000"/>
                <w:spacing w:val="0"/>
                <w:kern w:val="0"/>
                <w:sz w:val="24"/>
              </w:rPr>
            </w:pPr>
            <w:r>
              <w:rPr>
                <w:rFonts w:ascii="宋体" w:eastAsia="宋体" w:hAnsi="宋体" w:cs="宋体"/>
                <w:b w:val="0"/>
                <w:bCs w:val="0"/>
                <w:i w:val="0"/>
                <w:iCs w:val="0"/>
                <w:smallCaps w:val="0"/>
                <w:color w:val="000000"/>
                <w:spacing w:val="0"/>
                <w:kern w:val="0"/>
                <w:sz w:val="21"/>
              </w:rPr>
              <w:t>中共泰宁县委社会工作部</w:t>
            </w:r>
          </w:p>
        </w:tc>
      </w:tr>
    </w:tbl>
    <w:p>
      <w:pPr>
        <w:pStyle w:val="Heading3"/>
        <w:keepNext w:val="0"/>
        <w:keepLines w:val="0"/>
        <w:spacing w:before="100" w:after="100" w:line="560" w:lineRule="atLeast"/>
        <w:ind w:left="100" w:right="100" w:firstLine="640" w:firstLineChars="0"/>
        <w:rPr>
          <w:rFonts w:ascii="Times New Roman" w:eastAsia="Times New Roman" w:hAnsi="Times New Roman" w:cs="Times New Roman"/>
          <w:b/>
          <w:bCs/>
          <w:kern w:val="0"/>
          <w:sz w:val="28"/>
          <w:szCs w:val="28"/>
        </w:rPr>
      </w:pPr>
      <w:bookmarkStart w:id="5" w:name="_Toc256000057"/>
      <w:r>
        <w:rPr>
          <w:rFonts w:ascii="SimHei" w:eastAsia="SimHei" w:hAnsi="SimHei" w:cs="SimHei"/>
          <w:b w:val="0"/>
          <w:bCs w:val="0"/>
          <w:spacing w:val="0"/>
        </w:rPr>
        <w:t>三、部门主要工作总结</w:t>
      </w:r>
      <w:bookmarkEnd w:id="5"/>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2025年，中共泰宁县委社会工作部汇总部门主要任务是：2025年，县委社会工作部（信访局）深入学习贯彻党的二十届四中全会精神，切实履行全面从严治党主体责任，统筹推进党风廉政建设与意识形态工作责任制落实，聚焦主责主业，全力实施“减负强基赋能”“新兴领域党建”“信访工作法治化”三大攻坚行动，着力营造安全稳定、和谐有序的社会环境，奋力推动全县社会工作高质量发展。围绕上述任务，重点完成了以下工作：</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kern w:val="0"/>
          <w:sz w:val="32"/>
          <w:szCs w:val="32"/>
        </w:rPr>
        <w:t>（一）强化政治统领，坚持筑牢思想根基</w:t>
      </w:r>
      <w:r>
        <w:rPr>
          <w:rFonts w:ascii="FangSong_GB2312" w:eastAsia="FangSong_GB2312" w:hAnsi="FangSong_GB2312" w:cs="FangSong_GB2312"/>
          <w:kern w:val="0"/>
          <w:sz w:val="32"/>
          <w:szCs w:val="32"/>
        </w:rPr>
        <w:br/>
      </w:r>
      <w:r>
        <w:rPr>
          <w:rFonts w:ascii="FangSong_GB2312" w:eastAsia="FangSong_GB2312" w:hAnsi="FangSong_GB2312" w:cs="FangSong_GB2312"/>
          <w:kern w:val="0"/>
          <w:sz w:val="32"/>
          <w:szCs w:val="32"/>
        </w:rPr>
        <w:t>一是持续深化理论学习？。坚持把深入学习贯彻习近平新时代中国特色社会主义思想作为首要政治任务，严格落实“第一议题”制度，通过部务会、专题学习会等形式，及时传达学习习近平总书记最新重要讲话和重要指示批示精神，确保党的创新理论第一时间传达、学习、贯彻。二是加强党风廉政建设。严格落实“一岗双责”，以深入贯彻中央八项规定精神学习教育为契机，组织党员系统学习《习近平关于加强党的作风建设论述摘编》《中国共产党纪律处分条例》《中国共产党巡视工作条例》《鉴案析规》《信访工作条例》，进一步引导干部带头严格执行规定要求，立起纪律标尺，强化刚性约束。三是坚守意识形态阵地。强化意识形态工作责任落实，完善实施细则，健全分析研判机制。推动意识形态工作融入基层治理、政权建设、“两企三新”党建、志愿服务、信访及建议征集，服务大局，解决群众关切，加强监督检查，确保责任落地。</w:t>
      </w:r>
      <w:r>
        <w:rPr>
          <w:rFonts w:ascii="FangSong_GB2312" w:eastAsia="FangSong_GB2312" w:hAnsi="FangSong_GB2312" w:cs="FangSong_GB2312"/>
          <w:kern w:val="0"/>
          <w:sz w:val="32"/>
          <w:szCs w:val="32"/>
        </w:rPr>
        <w:br/>
      </w:r>
      <w:r>
        <w:rPr>
          <w:rFonts w:ascii="FangSong_GB2312" w:eastAsia="FangSong_GB2312" w:hAnsi="FangSong_GB2312" w:cs="FangSong_GB2312"/>
          <w:kern w:val="0"/>
          <w:sz w:val="32"/>
          <w:szCs w:val="32"/>
        </w:rPr>
        <w:t>（二）坚持党建引领，推进基层治理现代化</w:t>
      </w:r>
      <w:r>
        <w:rPr>
          <w:rFonts w:ascii="FangSong_GB2312" w:eastAsia="FangSong_GB2312" w:hAnsi="FangSong_GB2312" w:cs="FangSong_GB2312"/>
          <w:kern w:val="0"/>
          <w:sz w:val="32"/>
          <w:szCs w:val="32"/>
        </w:rPr>
        <w:br/>
      </w:r>
      <w:r>
        <w:rPr>
          <w:rFonts w:ascii="FangSong_GB2312" w:eastAsia="FangSong_GB2312" w:hAnsi="FangSong_GB2312" w:cs="FangSong_GB2312"/>
          <w:kern w:val="0"/>
          <w:sz w:val="32"/>
          <w:szCs w:val="32"/>
        </w:rPr>
        <w:t>一是党建引领基层治理。推动落实党建引领基层治理协调机制，形成“县委领导、组织部牵头、社会工作部协调、相关部门协同”的工作格局。巩固提升“135”近邻党建、“155”能人服务、村规民约“红黑榜”及邻里阿姐矛盾纠纷化解等工作机制，不断健全完善党组织领导下的自治、法治、德治相结合的城乡基层治理体系，激发基层治理新活力。二是持续减负赋能增效。强化与上级对口部门、县内相关职能部门以及各乡镇对应工作机构的日常沟通协调，全面摸排基层政权在组织建设、职能履行、队伍建设、保障条件等方面的实际情况，同步梳理基层治理观察联系点的工作进展，确保信息传递畅通、工作衔接紧密，为上级决策提供精准、全面的基础资料。三是精心谋划村（居）换届。根据省市关于村（居）委会换届选举工作的安排部署，做好换届选举前期准备工作，针对基层党组织建设、区域化党建机制建设、党建引领基层治理及近邻服务、基层民主协商制度建设、换届选情等方面进行了调研和初步的摸排。</w:t>
      </w:r>
      <w:r>
        <w:rPr>
          <w:rFonts w:ascii="FangSong_GB2312" w:eastAsia="FangSong_GB2312" w:hAnsi="FangSong_GB2312" w:cs="FangSong_GB2312"/>
          <w:kern w:val="0"/>
          <w:sz w:val="32"/>
          <w:szCs w:val="32"/>
        </w:rPr>
        <w:br/>
      </w:r>
      <w:r>
        <w:rPr>
          <w:rFonts w:ascii="FangSong_GB2312" w:eastAsia="FangSong_GB2312" w:hAnsi="FangSong_GB2312" w:cs="FangSong_GB2312"/>
          <w:kern w:val="0"/>
          <w:sz w:val="32"/>
          <w:szCs w:val="32"/>
        </w:rPr>
        <w:t>（三）创新攻坚策略，打造“两新”党建新标杆</w:t>
      </w:r>
      <w:r>
        <w:rPr>
          <w:rFonts w:ascii="FangSong_GB2312" w:eastAsia="FangSong_GB2312" w:hAnsi="FangSong_GB2312" w:cs="FangSong_GB2312"/>
          <w:kern w:val="0"/>
          <w:sz w:val="32"/>
          <w:szCs w:val="32"/>
        </w:rPr>
        <w:br/>
      </w:r>
      <w:r>
        <w:rPr>
          <w:rFonts w:ascii="FangSong_GB2312" w:eastAsia="FangSong_GB2312" w:hAnsi="FangSong_GB2312" w:cs="FangSong_GB2312"/>
          <w:kern w:val="0"/>
          <w:sz w:val="32"/>
          <w:szCs w:val="32"/>
        </w:rPr>
        <w:t>一是把稳“方向盘”。认真履行“第一责任人”责任，调整完善“两新”工委委员单位及职责分工，压实“管行业就要管党建”责任，形成齐抓共管“两企三新”党建工作格局。二是打好“攻坚战”。扎实开展“两个覆盖”集中攻坚，摸实“两企三新”的生产运营、党员人数、支部运行等情况，通过单独、联合组建等方式组建党组织58个，覆盖企业138家、社会组织52家，全县新兴领域党的组织覆盖率分别为84.1%、81.3%。三是架起“连心桥”。结合“五到五访五促”活动，及时调整县处级领导兼任非公企业党建指导员，指导成立工业园区非公企业党委，整合园区党群服务中心、“知创福建”工作站、职工法律服务一体化基地等平台资源，提供政策咨询、业务代办、劳动维权等一站式服务，帮助企业解决用工、融资、审批等问题320余项。</w:t>
      </w:r>
      <w:r>
        <w:rPr>
          <w:rFonts w:ascii="FangSong_GB2312" w:eastAsia="FangSong_GB2312" w:hAnsi="FangSong_GB2312" w:cs="FangSong_GB2312"/>
          <w:kern w:val="0"/>
          <w:sz w:val="32"/>
          <w:szCs w:val="32"/>
        </w:rPr>
        <w:br/>
      </w:r>
      <w:r>
        <w:rPr>
          <w:rFonts w:ascii="FangSong_GB2312" w:eastAsia="FangSong_GB2312" w:hAnsi="FangSong_GB2312" w:cs="FangSong_GB2312"/>
          <w:kern w:val="0"/>
          <w:sz w:val="32"/>
          <w:szCs w:val="32"/>
        </w:rPr>
        <w:t>（四）坚持围绕中心，推进志愿服务品牌化</w:t>
      </w:r>
      <w:r>
        <w:rPr>
          <w:rFonts w:ascii="FangSong_GB2312" w:eastAsia="FangSong_GB2312" w:hAnsi="FangSong_GB2312" w:cs="FangSong_GB2312"/>
          <w:kern w:val="0"/>
          <w:sz w:val="32"/>
          <w:szCs w:val="32"/>
        </w:rPr>
        <w:br/>
      </w:r>
      <w:r>
        <w:rPr>
          <w:rFonts w:ascii="FangSong_GB2312" w:eastAsia="FangSong_GB2312" w:hAnsi="FangSong_GB2312" w:cs="FangSong_GB2312"/>
          <w:kern w:val="0"/>
          <w:sz w:val="32"/>
          <w:szCs w:val="32"/>
        </w:rPr>
        <w:t>一是构建联动服务体系。始终把党的领导贯穿工作全过程，成立县委牵头的社会工作与志愿服务统筹小组，将“专业社工+志愿服务”纳入基层党建考核指标。建立“党员骨干+专业社工+志愿带头人”联动机制，实现党建与社工、志愿工作同部署、同推进、同考核。二是提升服务精准度。聚焦“一老一小”、特殊群体、乡村振兴等重点领域，推行社工“专业诊断+项目设计+服务落地”模式。三是激活全民参与热情。聚焦建设文明旅游、文旅活动、文明建设等三项重点工作，聚力推进“志愿服务+”模式，全年组织志愿服务活动超800场次，参与志愿者达3.2万人次，服务时长累计超12万小时。</w:t>
      </w:r>
      <w:r>
        <w:rPr>
          <w:rFonts w:ascii="FangSong_GB2312" w:eastAsia="FangSong_GB2312" w:hAnsi="FangSong_GB2312" w:cs="FangSong_GB2312"/>
          <w:kern w:val="0"/>
          <w:sz w:val="32"/>
          <w:szCs w:val="32"/>
        </w:rPr>
        <w:br/>
      </w:r>
      <w:r>
        <w:rPr>
          <w:rFonts w:ascii="FangSong_GB2312" w:eastAsia="FangSong_GB2312" w:hAnsi="FangSong_GB2312" w:cs="FangSong_GB2312"/>
          <w:kern w:val="0"/>
          <w:sz w:val="32"/>
          <w:szCs w:val="32"/>
        </w:rPr>
        <w:t>（五）坚持源头治理，推进信访工作法治化</w:t>
      </w:r>
      <w:r>
        <w:rPr>
          <w:rFonts w:ascii="FangSong_GB2312" w:eastAsia="FangSong_GB2312" w:hAnsi="FangSong_GB2312" w:cs="FangSong_GB2312"/>
          <w:kern w:val="0"/>
          <w:sz w:val="32"/>
          <w:szCs w:val="32"/>
        </w:rPr>
        <w:br/>
      </w:r>
      <w:r>
        <w:rPr>
          <w:rFonts w:ascii="FangSong_GB2312" w:eastAsia="FangSong_GB2312" w:hAnsi="FangSong_GB2312" w:cs="FangSong_GB2312"/>
          <w:kern w:val="0"/>
          <w:sz w:val="32"/>
          <w:szCs w:val="32"/>
        </w:rPr>
        <w:t>一是总体形势稳中向好。全年共受理群众信访237批289人次，与去年同期相比，批次下降3.7%，人次下降6.3%。信访各项考核指标稳中向好，全省93个县（市、区）申诉求决类初次信访事项办理质量排名全省第四位。圆满完成2025年全国、省、市“两会”、党的二十届四中全会、中央巡视组驻榕、省委巡视组驻明及上级来泰考察调研等信访维稳工作。二是信访专项工作突出。坚决扛起政治责任，圆满完成中央巡视组移交我县的全部信访事项办理工作。中央巡视组共移交我县83件信访事项，总量为全市最少，实现及时受理率、按期反馈率、回访率均达100%。用心用情推动群众合理诉求实质性化解，合理、部分合理诉求的化解率在全市率先达100%。三是创新信访工作方式。深入学习贯彻《信访工作条例》，坚持依规依纪依法转办督办信访问题，积极畅通信访渠道，切实做到“为民解难、为党分忧”，努力将矛盾纠纷化解在基层、化解在萌芽状态，有效的防止了信访上行。</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p>
    <w:p>
      <w:pPr>
        <w:sectPr>
          <w:footerReference w:type="default" r:id="rId8"/>
          <w:type w:val="nextPage"/>
          <w:pgSz w:w="11906" w:h="16838"/>
          <w:pgMar w:right="720" w:left="720" w:header="720" w:footer="720"/>
          <w:cols w:space="720"/>
        </w:sectPr>
      </w:pPr>
    </w:p>
    <w:p>
      <w:pPr>
        <w:widowControl/>
        <w:spacing w:before="240" w:after="240"/>
        <w:jc w:val="left"/>
        <w:rPr>
          <w:rFonts w:ascii="Times New Roman" w:eastAsia="Times New Roman" w:hAnsi="Times New Roman" w:cs="Times New Roman"/>
          <w:vanish/>
          <w:kern w:val="0"/>
          <w:sz w:val="24"/>
        </w:rPr>
      </w:pPr>
      <w:r>
        <w:rPr>
          <w:rFonts w:ascii="Times New Roman" w:eastAsia="Times New Roman" w:hAnsi="Times New Roman" w:cs="Times New Roman"/>
          <w:vanish/>
          <w:kern w:val="0"/>
          <w:sz w:val="24"/>
        </w:rPr>
        <w:t>word page break</w:t>
      </w:r>
    </w:p>
    <w:p>
      <w:pPr>
        <w:widowControl/>
        <w:spacing w:before="240" w:after="240"/>
        <w:jc w:val="left"/>
        <w:rPr>
          <w:rFonts w:ascii="Times New Roman" w:eastAsia="Times New Roman" w:hAnsi="Times New Roman" w:cs="Times New Roman"/>
          <w:kern w:val="0"/>
          <w:sz w:val="24"/>
        </w:rPr>
      </w:pPr>
    </w:p>
    <w:p>
      <w:pPr>
        <w:widowControl/>
        <w:spacing w:before="240" w:after="240"/>
        <w:jc w:val="left"/>
        <w:rPr>
          <w:rFonts w:ascii="Times New Roman" w:eastAsia="Times New Roman" w:hAnsi="Times New Roman" w:cs="Times New Roman"/>
          <w:kern w:val="0"/>
          <w:sz w:val="24"/>
        </w:rPr>
      </w:pP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p>
    <w:p>
      <w:pPr>
        <w:pStyle w:val="Heading2"/>
        <w:keepNext w:val="0"/>
        <w:keepLines w:val="0"/>
        <w:spacing w:before="100" w:after="100" w:line="240" w:lineRule="auto"/>
        <w:ind w:left="100" w:right="100" w:firstLine="0" w:firstLineChars="0"/>
        <w:jc w:val="center"/>
        <w:rPr>
          <w:rFonts w:ascii="Times New Roman" w:eastAsia="Times New Roman" w:hAnsi="Times New Roman" w:cs="Times New Roman"/>
          <w:b/>
          <w:bCs/>
          <w:kern w:val="0"/>
          <w:sz w:val="36"/>
          <w:szCs w:val="36"/>
        </w:rPr>
      </w:pPr>
      <w:bookmarkStart w:id="6" w:name="_Toc256000058"/>
      <w:r>
        <w:rPr>
          <w:rFonts w:ascii="SimHei" w:eastAsia="SimHei" w:hAnsi="SimHei" w:cs="SimHei"/>
          <w:b w:val="0"/>
          <w:bCs w:val="0"/>
          <w:spacing w:val="0"/>
          <w:sz w:val="56"/>
          <w:szCs w:val="56"/>
        </w:rPr>
        <w:t>第二部分</w:t>
      </w:r>
      <w:r>
        <w:rPr>
          <w:rFonts w:ascii="SimHei" w:eastAsia="SimHei" w:hAnsi="SimHei" w:cs="SimHei"/>
          <w:b w:val="0"/>
          <w:bCs w:val="0"/>
          <w:spacing w:val="0"/>
          <w:sz w:val="56"/>
          <w:szCs w:val="56"/>
        </w:rPr>
        <w:br/>
      </w:r>
      <w:r>
        <w:rPr>
          <w:rFonts w:ascii="SimHei" w:eastAsia="SimHei" w:hAnsi="SimHei" w:cs="SimHei"/>
          <w:b w:val="0"/>
          <w:bCs w:val="0"/>
          <w:spacing w:val="0"/>
          <w:sz w:val="56"/>
          <w:szCs w:val="56"/>
        </w:rPr>
        <w:t>2025年度部门决算表</w:t>
      </w:r>
      <w:bookmarkEnd w:id="6"/>
    </w:p>
    <w:p>
      <w:pPr>
        <w:pStyle w:val="p"/>
        <w:widowControl/>
        <w:spacing w:before="100" w:after="100"/>
        <w:ind w:left="100" w:right="100" w:firstLine="0"/>
        <w:jc w:val="center"/>
        <w:rPr>
          <w:rFonts w:ascii="Times New Roman" w:eastAsia="Times New Roman" w:hAnsi="Times New Roman" w:cs="Times New Roman"/>
          <w:kern w:val="0"/>
          <w:sz w:val="24"/>
        </w:rPr>
      </w:pPr>
    </w:p>
    <w:p>
      <w:pPr>
        <w:sectPr>
          <w:footerReference w:type="default" r:id="rId9"/>
          <w:type w:val="nextPage"/>
          <w:pgSz w:w="11906" w:h="16838"/>
          <w:pgMar w:right="720" w:left="720" w:header="720" w:footer="720"/>
          <w:cols w:space="720"/>
        </w:sectPr>
      </w:pPr>
    </w:p>
    <w:p>
      <w:pPr>
        <w:widowControl/>
        <w:spacing w:before="240" w:after="240"/>
        <w:jc w:val="left"/>
        <w:rPr>
          <w:rFonts w:ascii="Times New Roman" w:eastAsia="Times New Roman" w:hAnsi="Times New Roman" w:cs="Times New Roman"/>
          <w:vanish/>
          <w:kern w:val="0"/>
          <w:sz w:val="24"/>
        </w:rPr>
      </w:pPr>
      <w:r>
        <w:rPr>
          <w:rFonts w:ascii="Times New Roman" w:eastAsia="Times New Roman" w:hAnsi="Times New Roman" w:cs="Times New Roman"/>
          <w:vanish/>
          <w:kern w:val="0"/>
          <w:sz w:val="24"/>
        </w:rPr>
        <w:t>word page break</w:t>
      </w:r>
    </w:p>
    <w:p>
      <w:pPr>
        <w:widowControl/>
        <w:spacing w:before="240" w:after="240"/>
        <w:jc w:val="left"/>
        <w:rPr>
          <w:rFonts w:ascii="Times New Roman" w:eastAsia="Times New Roman" w:hAnsi="Times New Roman" w:cs="Times New Roman"/>
          <w:kern w:val="0"/>
          <w:sz w:val="24"/>
        </w:rPr>
      </w:pPr>
    </w:p>
    <w:p>
      <w:pPr>
        <w:widowControl/>
        <w:spacing w:before="240" w:after="240"/>
        <w:jc w:val="left"/>
        <w:rPr>
          <w:rFonts w:ascii="Times New Roman" w:eastAsia="Times New Roman" w:hAnsi="Times New Roman" w:cs="Times New Roman"/>
          <w:kern w:val="0"/>
          <w:sz w:val="24"/>
        </w:rPr>
      </w:pPr>
    </w:p>
    <w:p>
      <w:pPr>
        <w:pStyle w:val="Heading3"/>
        <w:keepNext w:val="0"/>
        <w:keepLines w:val="0"/>
        <w:spacing w:before="100" w:after="100" w:line="240" w:lineRule="auto"/>
        <w:ind w:left="100" w:right="100" w:firstLine="640" w:firstLineChars="0"/>
        <w:rPr>
          <w:rFonts w:ascii="Times New Roman" w:eastAsia="Times New Roman" w:hAnsi="Times New Roman" w:cs="Times New Roman"/>
          <w:b/>
          <w:bCs/>
          <w:kern w:val="0"/>
          <w:sz w:val="28"/>
          <w:szCs w:val="28"/>
        </w:rPr>
      </w:pPr>
      <w:bookmarkStart w:id="7" w:name="_Toc256000059"/>
      <w:r>
        <w:rPr>
          <w:rFonts w:ascii="SimHei" w:eastAsia="SimHei" w:hAnsi="SimHei" w:cs="SimHei"/>
          <w:b w:val="0"/>
          <w:bCs w:val="0"/>
          <w:spacing w:val="0"/>
        </w:rPr>
        <w:t>一、收入支出决算总表</w:t>
      </w:r>
      <w:bookmarkEnd w:id="7"/>
    </w:p>
    <w:p>
      <w:pPr>
        <w:widowControl/>
        <w:spacing w:before="240" w:after="240"/>
        <w:jc w:val="left"/>
        <w:rPr>
          <w:rFonts w:ascii="Times New Roman" w:eastAsia="Times New Roman" w:hAnsi="Times New Roman" w:cs="Times New Roman"/>
          <w:vanish/>
          <w:kern w:val="0"/>
          <w:sz w:val="24"/>
        </w:rPr>
      </w:pPr>
      <w:r>
        <w:rPr>
          <w:rFonts w:ascii="Times New Roman" w:eastAsia="Times New Roman" w:hAnsi="Times New Roman" w:cs="Times New Roman"/>
          <w:vanish/>
          <w:kern w:val="0"/>
          <w:sz w:val="24"/>
        </w:rPr>
        <w:t>word horizontal layout</w:t>
      </w:r>
    </w:p>
    <w:tbl>
      <w:tblPr>
        <w:tblW w:w="5000" w:type="pct"/>
        <w:tblInd w:w="20" w:type="dxa"/>
        <w:tblLayout w:type="fixed"/>
        <w:tblCellMar>
          <w:top w:w="0" w:type="dxa"/>
          <w:left w:w="108" w:type="dxa"/>
          <w:bottom w:w="0" w:type="dxa"/>
          <w:right w:w="108" w:type="dxa"/>
        </w:tblCellMar>
      </w:tblPr>
      <w:tblGrid>
        <w:gridCol w:w="3789"/>
        <w:gridCol w:w="3790"/>
        <w:gridCol w:w="3790"/>
        <w:gridCol w:w="3790"/>
      </w:tblGrid>
      <w:tr>
        <w:tblPrEx>
          <w:tblW w:w="5000" w:type="pct"/>
          <w:tblInd w:w="20" w:type="dxa"/>
          <w:tblLayout w:type="fixed"/>
          <w:tblCellMar>
            <w:top w:w="0" w:type="dxa"/>
            <w:left w:w="108" w:type="dxa"/>
            <w:bottom w:w="0" w:type="dxa"/>
            <w:right w:w="108" w:type="dxa"/>
          </w:tblCellMar>
        </w:tblPrEx>
        <w:trPr>
          <w:cantSplit/>
          <w:tblHeader/>
        </w:trPr>
        <w:tc>
          <w:tcPr>
            <w:tcW w:w="16380" w:type="dxa"/>
            <w:gridSpan w:val="4"/>
            <w:noWrap w:val="0"/>
            <w:tcMar>
              <w:top w:w="15" w:type="dxa"/>
              <w:left w:w="108" w:type="dxa"/>
              <w:bottom w:w="15" w:type="dxa"/>
              <w:right w:w="108" w:type="dxa"/>
            </w:tcMar>
            <w:vAlign w:val="center"/>
            <w:hideMark/>
          </w:tcPr>
          <w:p>
            <w:pPr>
              <w:widowControl/>
              <w:jc w:val="center"/>
              <w:rPr>
                <w:rFonts w:ascii="SimHei" w:eastAsia="SimHei" w:hAnsi="SimHei" w:cs="SimHei"/>
                <w:b w:val="0"/>
                <w:bCs w:val="0"/>
                <w:i w:val="0"/>
                <w:iCs w:val="0"/>
                <w:smallCaps w:val="0"/>
                <w:color w:val="000000"/>
                <w:kern w:val="0"/>
                <w:sz w:val="36"/>
                <w:szCs w:val="36"/>
              </w:rPr>
            </w:pPr>
            <w:r>
              <w:rPr>
                <w:rFonts w:ascii="黑体" w:eastAsia="黑体" w:hAnsi="黑体" w:cs="黑体"/>
                <w:b w:val="0"/>
                <w:bCs w:val="0"/>
                <w:i w:val="0"/>
                <w:iCs w:val="0"/>
                <w:smallCaps w:val="0"/>
                <w:color w:val="000000"/>
                <w:kern w:val="0"/>
                <w:sz w:val="32"/>
                <w:szCs w:val="36"/>
              </w:rPr>
              <w:t>收入支出决算总表</w:t>
            </w:r>
          </w:p>
        </w:tc>
      </w:tr>
      <w:tr>
        <w:tblPrEx>
          <w:tblW w:w="5000" w:type="pct"/>
          <w:tblInd w:w="20" w:type="dxa"/>
          <w:tblLayout w:type="fixed"/>
          <w:tblCellMar>
            <w:top w:w="0" w:type="dxa"/>
            <w:left w:w="108" w:type="dxa"/>
            <w:bottom w:w="0" w:type="dxa"/>
            <w:right w:w="108" w:type="dxa"/>
          </w:tblCellMar>
        </w:tblPrEx>
        <w:trPr>
          <w:cantSplit/>
          <w:tblHeader/>
        </w:trPr>
        <w:tc>
          <w:tcPr>
            <w:tcW w:w="21600" w:type="dxa"/>
            <w:gridSpan w:val="2"/>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hideMark/>
          </w:tcPr>
          <w:p>
            <w:pPr>
              <w:widowControl/>
              <w:jc w:val="righ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公开01表</w:t>
            </w:r>
          </w:p>
        </w:tc>
      </w:tr>
      <w:tr>
        <w:tblPrEx>
          <w:tblW w:w="5000" w:type="pct"/>
          <w:tblInd w:w="20" w:type="dxa"/>
          <w:tblLayout w:type="fixed"/>
          <w:tblCellMar>
            <w:top w:w="0" w:type="dxa"/>
            <w:left w:w="108" w:type="dxa"/>
            <w:bottom w:w="0" w:type="dxa"/>
            <w:right w:w="108" w:type="dxa"/>
          </w:tblCellMar>
        </w:tblPrEx>
        <w:trPr>
          <w:cantSplit/>
          <w:tblHeader/>
        </w:trPr>
        <w:tc>
          <w:tcPr>
            <w:tcW w:w="21600" w:type="dxa"/>
            <w:gridSpan w:val="3"/>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4"/>
                <w:szCs w:val="26"/>
              </w:rPr>
              <w:t>编制单位：中共泰宁县委社会工作部汇总</w:t>
            </w:r>
          </w:p>
        </w:tc>
        <w:tc>
          <w:tcPr>
            <w:tcW w:w="21600" w:type="dxa"/>
            <w:noWrap w:val="0"/>
            <w:tcMar>
              <w:top w:w="15" w:type="dxa"/>
              <w:left w:w="108" w:type="dxa"/>
              <w:bottom w:w="15" w:type="dxa"/>
              <w:right w:w="108" w:type="dxa"/>
            </w:tcMar>
            <w:vAlign w:val="center"/>
            <w:hideMark/>
          </w:tcPr>
          <w:p>
            <w:pPr>
              <w:widowControl/>
              <w:jc w:val="righ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单位：万元</w:t>
            </w:r>
          </w:p>
        </w:tc>
      </w:tr>
      <w:tr>
        <w:tblPrEx>
          <w:tblW w:w="5000" w:type="pct"/>
          <w:tblInd w:w="20" w:type="dxa"/>
          <w:tblLayout w:type="fixed"/>
          <w:tblCellMar>
            <w:top w:w="0" w:type="dxa"/>
            <w:left w:w="108" w:type="dxa"/>
            <w:bottom w:w="0" w:type="dxa"/>
            <w:right w:w="108" w:type="dxa"/>
          </w:tblCellMar>
        </w:tblPrEx>
        <w:trPr>
          <w:cantSplit/>
          <w:tblHeader/>
        </w:trPr>
        <w:tc>
          <w:tcPr>
            <w:tcW w:w="21600" w:type="dxa"/>
            <w:gridSpan w:val="2"/>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收入</w:t>
            </w:r>
          </w:p>
        </w:tc>
        <w:tc>
          <w:tcPr>
            <w:tcW w:w="21600" w:type="dxa"/>
            <w:gridSpan w:val="2"/>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支出</w:t>
            </w:r>
          </w:p>
        </w:tc>
      </w:tr>
      <w:tr>
        <w:tblPrEx>
          <w:tblW w:w="5000" w:type="pct"/>
          <w:tblInd w:w="20" w:type="dxa"/>
          <w:tblLayout w:type="fixed"/>
          <w:tblCellMar>
            <w:top w:w="0" w:type="dxa"/>
            <w:left w:w="108" w:type="dxa"/>
            <w:bottom w:w="0" w:type="dxa"/>
            <w:right w:w="108" w:type="dxa"/>
          </w:tblCellMar>
        </w:tblPrEx>
        <w:trPr>
          <w:cantSplit/>
          <w:tblHeader/>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项目</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决算数</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项目(按支出功能分类)</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决算数</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一、一般公共预算财政拨款收入</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398.74</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一、一般公共服务支出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415.41</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二、政府性基金预算财政拨款收入</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xml:space="preserve">二、外交支出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三、国有资本经营预算财政拨款收入</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三、国防支出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四、上级补助收入</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四、公共安全支出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五、事业收入</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五、教育支出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六、经营收入</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六、科学技术支出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七、附属单位上缴收入</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七、文化旅游体育与传媒支出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八、其他收入</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1.36</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八、社会保障和就业支出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九、卫生健康支出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十、节能环保支出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十一、城乡社区支出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十二、农林水支出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十三、交通运输支出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十四、资源勘探工业信息等支出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十五、商业服务业等支出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十六、金融支出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十七、援助其他地区支出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十八、自然资源海洋气象等支出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十九、住房保障支出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二十、粮油物资储备支出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二十一、国有资本经营预算支出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二十二、灾害防治及应急管理支出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二十三、其他支出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二十四、债务还本支出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二十五、债务付息支出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二十六、抗疫特别国债安排的支出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本年收入合计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400.10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本年支出合计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415.41</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使用非财政拨款结余（含专用结余）</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结余分配</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xml:space="preserve">年初结转和结余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16.63</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xml:space="preserve">年末结转和结余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1.32</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总计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416.73</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总计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416.73</w:t>
            </w:r>
          </w:p>
        </w:tc>
      </w:tr>
      <w:tr>
        <w:tblPrEx>
          <w:tblW w:w="5000" w:type="pct"/>
          <w:tblInd w:w="20" w:type="dxa"/>
          <w:tblLayout w:type="fixed"/>
          <w:tblCellMar>
            <w:top w:w="0" w:type="dxa"/>
            <w:left w:w="108" w:type="dxa"/>
            <w:bottom w:w="0" w:type="dxa"/>
            <w:right w:w="108" w:type="dxa"/>
          </w:tblCellMar>
        </w:tblPrEx>
        <w:trPr>
          <w:cantSplit/>
        </w:trPr>
        <w:tc>
          <w:tcPr>
            <w:tcW w:w="16380" w:type="dxa"/>
            <w:gridSpan w:val="4"/>
            <w:noWrap w:val="0"/>
            <w:tcMar>
              <w:top w:w="15" w:type="dxa"/>
              <w:left w:w="108" w:type="dxa"/>
              <w:bottom w:w="15" w:type="dxa"/>
              <w:right w:w="108" w:type="dxa"/>
            </w:tcMar>
            <w:vAlign w:val="center"/>
            <w:hideMark/>
          </w:tcPr>
          <w:p>
            <w:pPr>
              <w:widowControl/>
              <w:spacing w:line="375" w:lineRule="atLeast"/>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注：1.本表反映部门本年度的总收支和年末结转结余情况。</w:t>
            </w:r>
          </w:p>
        </w:tc>
      </w:tr>
      <w:tr>
        <w:tblPrEx>
          <w:tblW w:w="5000" w:type="pct"/>
          <w:tblInd w:w="20" w:type="dxa"/>
          <w:tblLayout w:type="fixed"/>
          <w:tblCellMar>
            <w:top w:w="0" w:type="dxa"/>
            <w:left w:w="108" w:type="dxa"/>
            <w:bottom w:w="0" w:type="dxa"/>
            <w:right w:w="108" w:type="dxa"/>
          </w:tblCellMar>
        </w:tblPrEx>
        <w:trPr>
          <w:cantSplit/>
        </w:trPr>
        <w:tc>
          <w:tcPr>
            <w:tcW w:w="16380" w:type="dxa"/>
            <w:gridSpan w:val="4"/>
            <w:noWrap w:val="0"/>
            <w:tcMar>
              <w:top w:w="15" w:type="dxa"/>
              <w:left w:w="108" w:type="dxa"/>
              <w:bottom w:w="15" w:type="dxa"/>
              <w:right w:w="108" w:type="dxa"/>
            </w:tcMar>
            <w:vAlign w:val="center"/>
            <w:hideMark/>
          </w:tcPr>
          <w:p>
            <w:pPr>
              <w:widowControl/>
              <w:spacing w:line="375" w:lineRule="atLeast"/>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2.本套报表金额单位转换时可能存在尾数误差。</w:t>
            </w:r>
          </w:p>
        </w:tc>
      </w:tr>
    </w:tbl>
    <w:p>
      <w:pPr>
        <w:sectPr>
          <w:footerReference w:type="default" r:id="rId10"/>
          <w:type w:val="nextPage"/>
          <w:pgSz w:w="16383" w:h="11906" w:orient="landscape"/>
          <w:pgMar w:top="1134" w:right="720" w:bottom="1134" w:left="720" w:header="720" w:footer="720"/>
          <w:cols w:space="720"/>
        </w:sectPr>
      </w:pPr>
    </w:p>
    <w:p>
      <w:pPr>
        <w:widowControl/>
        <w:jc w:val="left"/>
        <w:rPr>
          <w:rFonts w:ascii="Times New Roman" w:eastAsia="Times New Roman" w:hAnsi="Times New Roman" w:cs="Times New Roman"/>
          <w:kern w:val="0"/>
          <w:sz w:val="24"/>
        </w:rPr>
      </w:pPr>
      <w:r>
        <w:rPr>
          <w:rFonts w:ascii="Times New Roman" w:eastAsia="Times New Roman" w:hAnsi="Times New Roman" w:cs="Times New Roman"/>
          <w:kern w:val="0"/>
          <w:sz w:val="24"/>
        </w:rPr>
        <w:t> </w:t>
      </w:r>
    </w:p>
    <w:p>
      <w:pPr>
        <w:pStyle w:val="p"/>
        <w:widowControl/>
        <w:spacing w:before="240" w:after="240"/>
        <w:jc w:val="left"/>
        <w:rPr>
          <w:rFonts w:ascii="Times New Roman" w:eastAsia="Times New Roman" w:hAnsi="Times New Roman" w:cs="Times New Roman"/>
          <w:kern w:val="0"/>
          <w:sz w:val="24"/>
        </w:rPr>
      </w:pPr>
      <w:r>
        <w:rPr>
          <w:rFonts w:ascii="SimSun" w:eastAsia="SimSun" w:hAnsi="SimSun" w:cs="SimSun"/>
          <w:spacing w:val="0"/>
          <w:kern w:val="0"/>
          <w:sz w:val="24"/>
        </w:rPr>
        <w:t> </w:t>
      </w:r>
    </w:p>
    <w:p>
      <w:pPr>
        <w:pStyle w:val="Heading3"/>
        <w:keepNext w:val="0"/>
        <w:keepLines w:val="0"/>
        <w:spacing w:before="100" w:after="100" w:line="240" w:lineRule="auto"/>
        <w:ind w:left="100" w:right="100" w:firstLine="640" w:firstLineChars="0"/>
        <w:rPr>
          <w:rFonts w:ascii="Times New Roman" w:eastAsia="Times New Roman" w:hAnsi="Times New Roman" w:cs="Times New Roman"/>
          <w:b/>
          <w:bCs/>
          <w:kern w:val="0"/>
          <w:sz w:val="28"/>
          <w:szCs w:val="28"/>
        </w:rPr>
      </w:pPr>
      <w:bookmarkStart w:id="8" w:name="_Toc256000060"/>
      <w:r>
        <w:rPr>
          <w:rFonts w:ascii="SimHei" w:eastAsia="SimHei" w:hAnsi="SimHei" w:cs="SimHei"/>
          <w:b w:val="0"/>
          <w:bCs w:val="0"/>
          <w:spacing w:val="0"/>
        </w:rPr>
        <w:t>二、收入决算表</w:t>
      </w:r>
      <w:bookmarkEnd w:id="8"/>
    </w:p>
    <w:p>
      <w:pPr>
        <w:widowControl/>
        <w:spacing w:before="240" w:after="240"/>
        <w:jc w:val="left"/>
        <w:rPr>
          <w:rFonts w:ascii="Times New Roman" w:eastAsia="Times New Roman" w:hAnsi="Times New Roman" w:cs="Times New Roman"/>
          <w:vanish/>
          <w:kern w:val="0"/>
          <w:sz w:val="24"/>
        </w:rPr>
      </w:pPr>
      <w:r>
        <w:rPr>
          <w:rFonts w:ascii="Times New Roman" w:eastAsia="Times New Roman" w:hAnsi="Times New Roman" w:cs="Times New Roman"/>
          <w:vanish/>
          <w:kern w:val="0"/>
          <w:sz w:val="24"/>
        </w:rPr>
        <w:t>word horizontal layout gk02</w:t>
      </w:r>
    </w:p>
    <w:tbl>
      <w:tblPr>
        <w:tblW w:w="5000" w:type="pct"/>
        <w:tblInd w:w="20" w:type="dxa"/>
        <w:tblLayout w:type="fixed"/>
        <w:tblCellMar>
          <w:top w:w="0" w:type="dxa"/>
          <w:left w:w="108" w:type="dxa"/>
          <w:bottom w:w="0" w:type="dxa"/>
          <w:right w:w="108" w:type="dxa"/>
        </w:tblCellMar>
      </w:tblPr>
      <w:tblGrid>
        <w:gridCol w:w="579"/>
        <w:gridCol w:w="578"/>
        <w:gridCol w:w="578"/>
        <w:gridCol w:w="1678"/>
        <w:gridCol w:w="1678"/>
        <w:gridCol w:w="1678"/>
        <w:gridCol w:w="1678"/>
        <w:gridCol w:w="1678"/>
        <w:gridCol w:w="1678"/>
        <w:gridCol w:w="1678"/>
        <w:gridCol w:w="1678"/>
      </w:tblGrid>
      <w:tr>
        <w:tblPrEx>
          <w:tblW w:w="5000" w:type="pct"/>
          <w:tblInd w:w="20" w:type="dxa"/>
          <w:tblLayout w:type="fixed"/>
          <w:tblCellMar>
            <w:top w:w="0" w:type="dxa"/>
            <w:left w:w="108" w:type="dxa"/>
            <w:bottom w:w="0" w:type="dxa"/>
            <w:right w:w="108" w:type="dxa"/>
          </w:tblCellMar>
        </w:tblPrEx>
        <w:trPr>
          <w:cantSplit/>
          <w:tblHeader/>
        </w:trPr>
        <w:tc>
          <w:tcPr>
            <w:tcW w:w="14578" w:type="dxa"/>
            <w:gridSpan w:val="11"/>
            <w:noWrap w:val="0"/>
            <w:tcMar>
              <w:top w:w="15" w:type="dxa"/>
              <w:left w:w="108" w:type="dxa"/>
              <w:bottom w:w="15" w:type="dxa"/>
              <w:right w:w="108" w:type="dxa"/>
            </w:tcMar>
            <w:vAlign w:val="center"/>
            <w:hideMark/>
          </w:tcPr>
          <w:p>
            <w:pPr>
              <w:widowControl/>
              <w:jc w:val="center"/>
              <w:rPr>
                <w:rFonts w:ascii="SimHei" w:eastAsia="SimHei" w:hAnsi="SimHei" w:cs="SimHei"/>
                <w:b w:val="0"/>
                <w:bCs w:val="0"/>
                <w:i w:val="0"/>
                <w:iCs w:val="0"/>
                <w:smallCaps w:val="0"/>
                <w:color w:val="000000"/>
                <w:kern w:val="0"/>
                <w:sz w:val="36"/>
                <w:szCs w:val="36"/>
              </w:rPr>
            </w:pPr>
            <w:r>
              <w:rPr>
                <w:rFonts w:ascii="黑体" w:eastAsia="黑体" w:hAnsi="黑体" w:cs="黑体"/>
                <w:b w:val="0"/>
                <w:bCs w:val="0"/>
                <w:i w:val="0"/>
                <w:iCs w:val="0"/>
                <w:smallCaps w:val="0"/>
                <w:color w:val="000000"/>
                <w:kern w:val="0"/>
                <w:sz w:val="32"/>
                <w:szCs w:val="36"/>
              </w:rPr>
              <w:t>收入决算表</w:t>
            </w:r>
          </w:p>
        </w:tc>
      </w:tr>
      <w:tr>
        <w:tblPrEx>
          <w:tblW w:w="5000" w:type="pct"/>
          <w:tblInd w:w="20" w:type="dxa"/>
          <w:tblLayout w:type="fixed"/>
          <w:tblCellMar>
            <w:top w:w="0" w:type="dxa"/>
            <w:left w:w="108" w:type="dxa"/>
            <w:bottom w:w="0" w:type="dxa"/>
            <w:right w:w="108" w:type="dxa"/>
          </w:tblCellMar>
        </w:tblPrEx>
        <w:trPr>
          <w:cantSplit/>
          <w:tblHeader/>
        </w:trPr>
        <w:tc>
          <w:tcPr>
            <w:tcW w:w="5290" w:type="dxa"/>
            <w:gridSpan w:val="2"/>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529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hideMark/>
          </w:tcPr>
          <w:p>
            <w:pPr>
              <w:widowControl/>
              <w:jc w:val="righ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公开02表</w:t>
            </w:r>
          </w:p>
        </w:tc>
      </w:tr>
      <w:tr>
        <w:tblPrEx>
          <w:tblW w:w="5000" w:type="pct"/>
          <w:tblInd w:w="20" w:type="dxa"/>
          <w:tblLayout w:type="fixed"/>
          <w:tblCellMar>
            <w:top w:w="0" w:type="dxa"/>
            <w:left w:w="108" w:type="dxa"/>
            <w:bottom w:w="0" w:type="dxa"/>
            <w:right w:w="108" w:type="dxa"/>
          </w:tblCellMar>
        </w:tblPrEx>
        <w:trPr>
          <w:cantSplit/>
          <w:tblHeader/>
        </w:trPr>
        <w:tc>
          <w:tcPr>
            <w:tcW w:w="5290" w:type="dxa"/>
            <w:gridSpan w:val="7"/>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4"/>
                <w:szCs w:val="26"/>
              </w:rPr>
              <w:t>编制单位：中共泰宁县委社会工作部汇总</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hideMark/>
          </w:tcPr>
          <w:p>
            <w:pPr>
              <w:widowControl/>
              <w:jc w:val="righ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单位：万元</w:t>
            </w:r>
          </w:p>
        </w:tc>
      </w:tr>
      <w:tr>
        <w:tblPrEx>
          <w:tblW w:w="5000" w:type="pct"/>
          <w:tblInd w:w="20" w:type="dxa"/>
          <w:tblLayout w:type="fixed"/>
          <w:tblCellMar>
            <w:top w:w="0" w:type="dxa"/>
            <w:left w:w="108" w:type="dxa"/>
            <w:bottom w:w="0" w:type="dxa"/>
            <w:right w:w="108" w:type="dxa"/>
          </w:tblCellMar>
        </w:tblPrEx>
        <w:trPr>
          <w:cantSplit/>
          <w:tblHeader/>
        </w:trPr>
        <w:tc>
          <w:tcPr>
            <w:tcW w:w="5295" w:type="dxa"/>
            <w:gridSpan w:val="4"/>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项目</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本年收入合计</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xml:space="preserve">财政拨款收入 </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上级补助收入</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事业收入</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经营收入</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附属单位上缴收入</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其他收入</w:t>
            </w:r>
          </w:p>
        </w:tc>
      </w:tr>
      <w:tr>
        <w:tblPrEx>
          <w:tblW w:w="5000" w:type="pct"/>
          <w:tblInd w:w="20" w:type="dxa"/>
          <w:tblLayout w:type="fixed"/>
          <w:tblCellMar>
            <w:top w:w="0" w:type="dxa"/>
            <w:left w:w="108" w:type="dxa"/>
            <w:bottom w:w="0" w:type="dxa"/>
            <w:right w:w="108" w:type="dxa"/>
          </w:tblCellMar>
        </w:tblPrEx>
        <w:trPr>
          <w:cantSplit/>
          <w:tblHeader/>
        </w:trPr>
        <w:tc>
          <w:tcPr>
            <w:tcW w:w="5295" w:type="dxa"/>
            <w:gridSpan w:val="3"/>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支出功能分类科目编码</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科目名称</w:t>
            </w:r>
          </w:p>
        </w:tc>
        <w:tc>
          <w:tcPr>
            <w:tcW w:w="1515" w:type="dxa"/>
            <w:vMerge/>
            <w:tcBorders>
              <w:left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515" w:type="dxa"/>
            <w:vMerge/>
            <w:tcBorders>
              <w:left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514" w:type="dxa"/>
            <w:vMerge/>
            <w:tcBorders>
              <w:left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196" w:type="dxa"/>
            <w:vMerge/>
            <w:tcBorders>
              <w:left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196" w:type="dxa"/>
            <w:vMerge/>
            <w:tcBorders>
              <w:left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833" w:type="dxa"/>
            <w:vMerge/>
            <w:tcBorders>
              <w:left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335" w:type="dxa"/>
            <w:vMerge/>
            <w:tcBorders>
              <w:left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r>
      <w:tr>
        <w:tblPrEx>
          <w:tblW w:w="5000" w:type="pct"/>
          <w:tblInd w:w="20" w:type="dxa"/>
          <w:tblLayout w:type="fixed"/>
          <w:tblCellMar>
            <w:top w:w="0" w:type="dxa"/>
            <w:left w:w="108" w:type="dxa"/>
            <w:bottom w:w="0" w:type="dxa"/>
            <w:right w:w="108" w:type="dxa"/>
          </w:tblCellMar>
        </w:tblPrEx>
        <w:trPr>
          <w:cantSplit/>
          <w:tblHeader/>
        </w:trPr>
        <w:tc>
          <w:tcPr>
            <w:tcW w:w="1637" w:type="dxa"/>
            <w:gridSpan w:val="3"/>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2837"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515"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515"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514"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196"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196"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833"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335"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r>
      <w:tr>
        <w:tblPrEx>
          <w:tblW w:w="5000" w:type="pct"/>
          <w:tblInd w:w="20" w:type="dxa"/>
          <w:tblLayout w:type="fixed"/>
          <w:tblCellMar>
            <w:top w:w="0" w:type="dxa"/>
            <w:left w:w="108" w:type="dxa"/>
            <w:bottom w:w="0" w:type="dxa"/>
            <w:right w:w="108" w:type="dxa"/>
          </w:tblCellMar>
        </w:tblPrEx>
        <w:trPr>
          <w:cantSplit/>
          <w:tblHeader/>
        </w:trPr>
        <w:tc>
          <w:tcPr>
            <w:tcW w:w="5295"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类</w:t>
            </w:r>
          </w:p>
        </w:tc>
        <w:tc>
          <w:tcPr>
            <w:tcW w:w="5295"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款</w:t>
            </w:r>
          </w:p>
        </w:tc>
        <w:tc>
          <w:tcPr>
            <w:tcW w:w="5295"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合计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400.10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398.74</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1.36</w:t>
            </w:r>
          </w:p>
        </w:tc>
      </w:tr>
      <w:tr>
        <w:tblPrEx>
          <w:tblW w:w="5000" w:type="pct"/>
          <w:tblInd w:w="20" w:type="dxa"/>
          <w:tblLayout w:type="fixed"/>
          <w:tblCellMar>
            <w:top w:w="0" w:type="dxa"/>
            <w:left w:w="108" w:type="dxa"/>
            <w:bottom w:w="0" w:type="dxa"/>
            <w:right w:w="108" w:type="dxa"/>
          </w:tblCellMar>
        </w:tblPrEx>
        <w:trPr>
          <w:cantSplit/>
        </w:trPr>
        <w:tc>
          <w:tcPr>
            <w:tcW w:w="5295" w:type="dxa"/>
            <w:gridSpan w:val="3"/>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一般公共服务支出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400.10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398.74</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1.36</w:t>
            </w:r>
          </w:p>
        </w:tc>
      </w:tr>
      <w:tr>
        <w:tblPrEx>
          <w:tblW w:w="5000" w:type="pct"/>
          <w:tblInd w:w="20" w:type="dxa"/>
          <w:tblLayout w:type="fixed"/>
          <w:tblCellMar>
            <w:top w:w="0" w:type="dxa"/>
            <w:left w:w="108" w:type="dxa"/>
            <w:bottom w:w="0" w:type="dxa"/>
            <w:right w:w="108" w:type="dxa"/>
          </w:tblCellMar>
        </w:tblPrEx>
        <w:trPr>
          <w:cantSplit/>
        </w:trPr>
        <w:tc>
          <w:tcPr>
            <w:tcW w:w="5295" w:type="dxa"/>
            <w:gridSpan w:val="3"/>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20132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组织事务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0.82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0.82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5295" w:type="dxa"/>
            <w:gridSpan w:val="3"/>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2013201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行政运行</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0.82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0.82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5295" w:type="dxa"/>
            <w:gridSpan w:val="3"/>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20139</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社会工作事务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360.53</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359.17</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1.36</w:t>
            </w:r>
          </w:p>
        </w:tc>
      </w:tr>
      <w:tr>
        <w:tblPrEx>
          <w:tblW w:w="5000" w:type="pct"/>
          <w:tblInd w:w="20" w:type="dxa"/>
          <w:tblLayout w:type="fixed"/>
          <w:tblCellMar>
            <w:top w:w="0" w:type="dxa"/>
            <w:left w:w="108" w:type="dxa"/>
            <w:bottom w:w="0" w:type="dxa"/>
            <w:right w:w="108" w:type="dxa"/>
          </w:tblCellMar>
        </w:tblPrEx>
        <w:trPr>
          <w:cantSplit/>
        </w:trPr>
        <w:tc>
          <w:tcPr>
            <w:tcW w:w="5295" w:type="dxa"/>
            <w:gridSpan w:val="3"/>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2013901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行政运行</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251.22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251.22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5295" w:type="dxa"/>
            <w:gridSpan w:val="3"/>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2013904</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专项业务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93.82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93.82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5295" w:type="dxa"/>
            <w:gridSpan w:val="3"/>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2013950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事业运行</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6.77</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5.41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1.36</w:t>
            </w:r>
          </w:p>
        </w:tc>
      </w:tr>
      <w:tr>
        <w:tblPrEx>
          <w:tblW w:w="5000" w:type="pct"/>
          <w:tblInd w:w="20" w:type="dxa"/>
          <w:tblLayout w:type="fixed"/>
          <w:tblCellMar>
            <w:top w:w="0" w:type="dxa"/>
            <w:left w:w="108" w:type="dxa"/>
            <w:bottom w:w="0" w:type="dxa"/>
            <w:right w:w="108" w:type="dxa"/>
          </w:tblCellMar>
        </w:tblPrEx>
        <w:trPr>
          <w:cantSplit/>
        </w:trPr>
        <w:tc>
          <w:tcPr>
            <w:tcW w:w="5295" w:type="dxa"/>
            <w:gridSpan w:val="3"/>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2013999</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其他社会工作事务支出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8.72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8.72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5295" w:type="dxa"/>
            <w:gridSpan w:val="3"/>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20140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信访事务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38.75</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38.75</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5295" w:type="dxa"/>
            <w:gridSpan w:val="3"/>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2014001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行政运行</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35.00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35.00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5295" w:type="dxa"/>
            <w:gridSpan w:val="3"/>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2014004</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信访业务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3.75</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3.75</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14578" w:type="dxa"/>
            <w:gridSpan w:val="11"/>
            <w:noWrap w:val="0"/>
            <w:tcMar>
              <w:top w:w="15" w:type="dxa"/>
              <w:left w:w="108" w:type="dxa"/>
              <w:bottom w:w="15" w:type="dxa"/>
              <w:right w:w="108" w:type="dxa"/>
            </w:tcMar>
            <w:vAlign w:val="center"/>
            <w:hideMark/>
          </w:tcPr>
          <w:p>
            <w:pPr>
              <w:widowControl/>
              <w:spacing w:line="375" w:lineRule="atLeast"/>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注：本表反映部门本年度取得的各项收入情况。</w:t>
            </w:r>
          </w:p>
        </w:tc>
      </w:tr>
    </w:tbl>
    <w:p>
      <w:pPr>
        <w:sectPr>
          <w:footerReference w:type="default" r:id="rId11"/>
          <w:type w:val="nextPage"/>
          <w:pgSz w:w="16383" w:h="11906" w:orient="landscape"/>
          <w:pgMar w:top="1134" w:right="720" w:bottom="1134" w:left="720" w:header="720" w:footer="720"/>
          <w:cols w:space="720"/>
        </w:sectPr>
      </w:pPr>
    </w:p>
    <w:p>
      <w:pPr>
        <w:widowControl/>
        <w:jc w:val="left"/>
        <w:rPr>
          <w:rFonts w:ascii="Times New Roman" w:eastAsia="Times New Roman" w:hAnsi="Times New Roman" w:cs="Times New Roman"/>
          <w:kern w:val="0"/>
          <w:sz w:val="24"/>
        </w:rPr>
      </w:pPr>
      <w:r>
        <w:rPr>
          <w:rFonts w:ascii="Times New Roman" w:eastAsia="Times New Roman" w:hAnsi="Times New Roman" w:cs="Times New Roman"/>
          <w:kern w:val="0"/>
          <w:sz w:val="24"/>
        </w:rPr>
        <w:t> </w:t>
      </w:r>
    </w:p>
    <w:p>
      <w:pPr>
        <w:pStyle w:val="p"/>
        <w:widowControl/>
        <w:spacing w:before="240" w:after="100"/>
        <w:ind w:left="100" w:right="100" w:firstLine="0"/>
        <w:jc w:val="left"/>
        <w:rPr>
          <w:rFonts w:ascii="Times New Roman" w:eastAsia="Times New Roman" w:hAnsi="Times New Roman" w:cs="Times New Roman"/>
          <w:kern w:val="0"/>
          <w:sz w:val="24"/>
        </w:rPr>
      </w:pPr>
    </w:p>
    <w:p>
      <w:pPr>
        <w:pStyle w:val="Heading3"/>
        <w:keepNext w:val="0"/>
        <w:keepLines w:val="0"/>
        <w:spacing w:before="100" w:after="100" w:line="240" w:lineRule="auto"/>
        <w:ind w:left="100" w:right="100" w:firstLine="640" w:firstLineChars="0"/>
        <w:rPr>
          <w:rFonts w:ascii="Times New Roman" w:eastAsia="Times New Roman" w:hAnsi="Times New Roman" w:cs="Times New Roman"/>
          <w:b/>
          <w:bCs/>
          <w:kern w:val="0"/>
          <w:sz w:val="28"/>
          <w:szCs w:val="28"/>
        </w:rPr>
      </w:pPr>
      <w:bookmarkStart w:id="9" w:name="_Toc256000061"/>
      <w:r>
        <w:rPr>
          <w:rFonts w:ascii="SimHei" w:eastAsia="SimHei" w:hAnsi="SimHei" w:cs="SimHei"/>
          <w:b w:val="0"/>
          <w:bCs w:val="0"/>
          <w:spacing w:val="0"/>
        </w:rPr>
        <w:t>三、支出决算表</w:t>
      </w:r>
      <w:bookmarkEnd w:id="9"/>
    </w:p>
    <w:p>
      <w:pPr>
        <w:widowControl/>
        <w:spacing w:before="240" w:after="240"/>
        <w:jc w:val="left"/>
        <w:rPr>
          <w:rFonts w:ascii="Times New Roman" w:eastAsia="Times New Roman" w:hAnsi="Times New Roman" w:cs="Times New Roman"/>
          <w:vanish/>
          <w:kern w:val="0"/>
          <w:sz w:val="24"/>
        </w:rPr>
      </w:pPr>
      <w:r>
        <w:rPr>
          <w:rFonts w:ascii="Times New Roman" w:eastAsia="Times New Roman" w:hAnsi="Times New Roman" w:cs="Times New Roman"/>
          <w:vanish/>
          <w:kern w:val="0"/>
          <w:sz w:val="24"/>
        </w:rPr>
        <w:t>word horizontal layout gk03</w:t>
      </w:r>
    </w:p>
    <w:tbl>
      <w:tblPr>
        <w:tblW w:w="5000" w:type="pct"/>
        <w:tblInd w:w="20" w:type="dxa"/>
        <w:tblLayout w:type="fixed"/>
        <w:tblCellMar>
          <w:top w:w="0" w:type="dxa"/>
          <w:left w:w="108" w:type="dxa"/>
          <w:bottom w:w="0" w:type="dxa"/>
          <w:right w:w="108" w:type="dxa"/>
        </w:tblCellMar>
      </w:tblPr>
      <w:tblGrid>
        <w:gridCol w:w="629"/>
        <w:gridCol w:w="629"/>
        <w:gridCol w:w="629"/>
        <w:gridCol w:w="1896"/>
        <w:gridCol w:w="1896"/>
        <w:gridCol w:w="1896"/>
        <w:gridCol w:w="1896"/>
        <w:gridCol w:w="1896"/>
        <w:gridCol w:w="1896"/>
        <w:gridCol w:w="1896"/>
      </w:tblGrid>
      <w:tr>
        <w:tblPrEx>
          <w:tblW w:w="5000" w:type="pct"/>
          <w:tblInd w:w="20" w:type="dxa"/>
          <w:tblLayout w:type="fixed"/>
          <w:tblCellMar>
            <w:top w:w="0" w:type="dxa"/>
            <w:left w:w="108" w:type="dxa"/>
            <w:bottom w:w="0" w:type="dxa"/>
            <w:right w:w="108" w:type="dxa"/>
          </w:tblCellMar>
        </w:tblPrEx>
        <w:trPr>
          <w:cantSplit/>
          <w:tblHeader/>
        </w:trPr>
        <w:tc>
          <w:tcPr>
            <w:tcW w:w="14400" w:type="dxa"/>
            <w:gridSpan w:val="10"/>
            <w:noWrap w:val="0"/>
            <w:tcMar>
              <w:top w:w="15" w:type="dxa"/>
              <w:left w:w="108" w:type="dxa"/>
              <w:bottom w:w="15" w:type="dxa"/>
              <w:right w:w="108" w:type="dxa"/>
            </w:tcMar>
            <w:vAlign w:val="center"/>
            <w:hideMark/>
          </w:tcPr>
          <w:p>
            <w:pPr>
              <w:widowControl/>
              <w:jc w:val="center"/>
              <w:rPr>
                <w:rFonts w:ascii="SimHei" w:eastAsia="SimHei" w:hAnsi="SimHei" w:cs="SimHei"/>
                <w:b w:val="0"/>
                <w:bCs w:val="0"/>
                <w:i w:val="0"/>
                <w:iCs w:val="0"/>
                <w:smallCaps w:val="0"/>
                <w:color w:val="000000"/>
                <w:kern w:val="0"/>
                <w:sz w:val="36"/>
                <w:szCs w:val="36"/>
              </w:rPr>
            </w:pPr>
            <w:r>
              <w:rPr>
                <w:rFonts w:ascii="黑体" w:eastAsia="黑体" w:hAnsi="黑体" w:cs="黑体"/>
                <w:b w:val="0"/>
                <w:bCs w:val="0"/>
                <w:i w:val="0"/>
                <w:iCs w:val="0"/>
                <w:smallCaps w:val="0"/>
                <w:color w:val="000000"/>
                <w:kern w:val="0"/>
                <w:sz w:val="32"/>
                <w:szCs w:val="36"/>
              </w:rPr>
              <w:t>支出决算表</w:t>
            </w:r>
          </w:p>
        </w:tc>
      </w:tr>
      <w:tr>
        <w:tblPrEx>
          <w:tblW w:w="5000" w:type="pct"/>
          <w:tblInd w:w="20" w:type="dxa"/>
          <w:tblLayout w:type="fixed"/>
          <w:tblCellMar>
            <w:top w:w="0" w:type="dxa"/>
            <w:left w:w="108" w:type="dxa"/>
            <w:bottom w:w="0" w:type="dxa"/>
            <w:right w:w="108" w:type="dxa"/>
          </w:tblCellMar>
        </w:tblPrEx>
        <w:trPr>
          <w:cantSplit/>
          <w:tblHeader/>
        </w:trPr>
        <w:tc>
          <w:tcPr>
            <w:tcW w:w="5290" w:type="dxa"/>
            <w:gridSpan w:val="4"/>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hideMark/>
          </w:tcPr>
          <w:p>
            <w:pPr>
              <w:widowControl/>
              <w:jc w:val="righ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公开03表</w:t>
            </w:r>
          </w:p>
        </w:tc>
      </w:tr>
      <w:tr>
        <w:tblPrEx>
          <w:tblW w:w="5000" w:type="pct"/>
          <w:tblInd w:w="20" w:type="dxa"/>
          <w:tblLayout w:type="fixed"/>
          <w:tblCellMar>
            <w:top w:w="0" w:type="dxa"/>
            <w:left w:w="108" w:type="dxa"/>
            <w:bottom w:w="0" w:type="dxa"/>
            <w:right w:w="108" w:type="dxa"/>
          </w:tblCellMar>
        </w:tblPrEx>
        <w:trPr>
          <w:cantSplit/>
          <w:tblHeader/>
        </w:trPr>
        <w:tc>
          <w:tcPr>
            <w:tcW w:w="5290" w:type="dxa"/>
            <w:gridSpan w:val="7"/>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4"/>
                <w:szCs w:val="26"/>
              </w:rPr>
              <w:t>编制单位：中共泰宁县委社会工作部汇总</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hideMark/>
          </w:tcPr>
          <w:p>
            <w:pPr>
              <w:widowControl/>
              <w:jc w:val="righ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单位：万元</w:t>
            </w:r>
          </w:p>
        </w:tc>
      </w:tr>
      <w:tr>
        <w:tblPrEx>
          <w:tblW w:w="5000" w:type="pct"/>
          <w:tblInd w:w="20" w:type="dxa"/>
          <w:tblLayout w:type="fixed"/>
          <w:tblCellMar>
            <w:top w:w="0" w:type="dxa"/>
            <w:left w:w="108" w:type="dxa"/>
            <w:bottom w:w="0" w:type="dxa"/>
            <w:right w:w="108" w:type="dxa"/>
          </w:tblCellMar>
        </w:tblPrEx>
        <w:trPr>
          <w:cantSplit/>
          <w:tblHeader/>
        </w:trPr>
        <w:tc>
          <w:tcPr>
            <w:tcW w:w="5295" w:type="dxa"/>
            <w:gridSpan w:val="4"/>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项目</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本年支出合计</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基本支出</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项目支出</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上缴上级支出</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经营支出</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对附属单位补助支出</w:t>
            </w:r>
          </w:p>
        </w:tc>
      </w:tr>
      <w:tr>
        <w:tblPrEx>
          <w:tblW w:w="5000" w:type="pct"/>
          <w:tblInd w:w="20" w:type="dxa"/>
          <w:tblLayout w:type="fixed"/>
          <w:tblCellMar>
            <w:top w:w="0" w:type="dxa"/>
            <w:left w:w="108" w:type="dxa"/>
            <w:bottom w:w="0" w:type="dxa"/>
            <w:right w:w="108" w:type="dxa"/>
          </w:tblCellMar>
        </w:tblPrEx>
        <w:trPr>
          <w:cantSplit/>
          <w:tblHeader/>
        </w:trPr>
        <w:tc>
          <w:tcPr>
            <w:tcW w:w="5295" w:type="dxa"/>
            <w:gridSpan w:val="3"/>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支出功能分类科目编码</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科目名称</w:t>
            </w:r>
          </w:p>
        </w:tc>
        <w:tc>
          <w:tcPr>
            <w:tcW w:w="1662" w:type="dxa"/>
            <w:vMerge/>
            <w:tcBorders>
              <w:left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308" w:type="dxa"/>
            <w:vMerge/>
            <w:tcBorders>
              <w:left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308" w:type="dxa"/>
            <w:vMerge/>
            <w:tcBorders>
              <w:left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662" w:type="dxa"/>
            <w:vMerge/>
            <w:tcBorders>
              <w:left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308" w:type="dxa"/>
            <w:vMerge/>
            <w:tcBorders>
              <w:left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2194" w:type="dxa"/>
            <w:vMerge/>
            <w:tcBorders>
              <w:left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r>
      <w:tr>
        <w:tblPrEx>
          <w:tblW w:w="5000" w:type="pct"/>
          <w:tblInd w:w="20" w:type="dxa"/>
          <w:tblLayout w:type="fixed"/>
          <w:tblCellMar>
            <w:top w:w="0" w:type="dxa"/>
            <w:left w:w="108" w:type="dxa"/>
            <w:bottom w:w="0" w:type="dxa"/>
            <w:right w:w="108" w:type="dxa"/>
          </w:tblCellMar>
        </w:tblPrEx>
        <w:trPr>
          <w:cantSplit/>
          <w:tblHeader/>
        </w:trPr>
        <w:tc>
          <w:tcPr>
            <w:tcW w:w="1818" w:type="dxa"/>
            <w:gridSpan w:val="3"/>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3140"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662"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308"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308"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662"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308"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2194"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r>
      <w:tr>
        <w:tblPrEx>
          <w:tblW w:w="5000" w:type="pct"/>
          <w:tblInd w:w="20" w:type="dxa"/>
          <w:tblLayout w:type="fixed"/>
          <w:tblCellMar>
            <w:top w:w="0" w:type="dxa"/>
            <w:left w:w="108" w:type="dxa"/>
            <w:bottom w:w="0" w:type="dxa"/>
            <w:right w:w="108" w:type="dxa"/>
          </w:tblCellMar>
        </w:tblPrEx>
        <w:trPr>
          <w:cantSplit/>
          <w:tblHeader/>
        </w:trPr>
        <w:tc>
          <w:tcPr>
            <w:tcW w:w="5295"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类</w:t>
            </w:r>
          </w:p>
        </w:tc>
        <w:tc>
          <w:tcPr>
            <w:tcW w:w="5295"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款</w:t>
            </w:r>
          </w:p>
        </w:tc>
        <w:tc>
          <w:tcPr>
            <w:tcW w:w="5295"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合计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415.41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374.41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41.00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5295" w:type="dxa"/>
            <w:gridSpan w:val="3"/>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一般公共服务支出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415.41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374.41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41.00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5295" w:type="dxa"/>
            <w:gridSpan w:val="3"/>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20132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组织事务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0.82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0.82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5295" w:type="dxa"/>
            <w:gridSpan w:val="3"/>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2013201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行政运行</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0.82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0.82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5295" w:type="dxa"/>
            <w:gridSpan w:val="3"/>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20139</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社会工作事务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359.21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328.39</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30.82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5295" w:type="dxa"/>
            <w:gridSpan w:val="3"/>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2013901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行政运行</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249.90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249.90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5295" w:type="dxa"/>
            <w:gridSpan w:val="3"/>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2013904</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专项业务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93.82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63.00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30.82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5295" w:type="dxa"/>
            <w:gridSpan w:val="3"/>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2013950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事业运行</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6.77</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6.77</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5295" w:type="dxa"/>
            <w:gridSpan w:val="3"/>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2013999</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其他社会工作事务支出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8.72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8.72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5295" w:type="dxa"/>
            <w:gridSpan w:val="3"/>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20140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信访事务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55.38</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45.20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10.18</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5295" w:type="dxa"/>
            <w:gridSpan w:val="3"/>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2014001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行政运行</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35.00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35.00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5295" w:type="dxa"/>
            <w:gridSpan w:val="3"/>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2014004</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信访业务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20.38</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10.20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10.18</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14400" w:type="dxa"/>
            <w:gridSpan w:val="10"/>
            <w:noWrap w:val="0"/>
            <w:tcMar>
              <w:top w:w="15" w:type="dxa"/>
              <w:left w:w="108" w:type="dxa"/>
              <w:bottom w:w="15" w:type="dxa"/>
              <w:right w:w="108" w:type="dxa"/>
            </w:tcMar>
            <w:vAlign w:val="center"/>
            <w:hideMark/>
          </w:tcPr>
          <w:p>
            <w:pPr>
              <w:widowControl/>
              <w:spacing w:line="375" w:lineRule="atLeast"/>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注：本表反映部门本年度各项支出情况。</w:t>
            </w:r>
          </w:p>
        </w:tc>
      </w:tr>
    </w:tbl>
    <w:p>
      <w:pPr>
        <w:sectPr>
          <w:footerReference w:type="default" r:id="rId12"/>
          <w:type w:val="nextPage"/>
          <w:pgSz w:w="16383" w:h="11906" w:orient="landscape"/>
          <w:pgMar w:top="1134" w:right="720" w:bottom="1134" w:left="720" w:header="720" w:footer="720"/>
          <w:cols w:space="720"/>
        </w:sectPr>
      </w:pPr>
    </w:p>
    <w:p>
      <w:pPr>
        <w:widowControl/>
        <w:jc w:val="left"/>
        <w:rPr>
          <w:rFonts w:ascii="Times New Roman" w:eastAsia="Times New Roman" w:hAnsi="Times New Roman" w:cs="Times New Roman"/>
          <w:kern w:val="0"/>
          <w:sz w:val="24"/>
        </w:rPr>
      </w:pPr>
      <w:r>
        <w:rPr>
          <w:rFonts w:ascii="Times New Roman" w:eastAsia="Times New Roman" w:hAnsi="Times New Roman" w:cs="Times New Roman"/>
          <w:kern w:val="0"/>
          <w:sz w:val="24"/>
        </w:rPr>
        <w:t> </w:t>
      </w:r>
    </w:p>
    <w:p>
      <w:pPr>
        <w:pStyle w:val="p"/>
        <w:widowControl/>
        <w:spacing w:before="240" w:after="100"/>
        <w:ind w:left="100" w:right="100" w:firstLine="0"/>
        <w:jc w:val="left"/>
        <w:rPr>
          <w:rFonts w:ascii="Times New Roman" w:eastAsia="Times New Roman" w:hAnsi="Times New Roman" w:cs="Times New Roman"/>
          <w:kern w:val="0"/>
          <w:sz w:val="24"/>
        </w:rPr>
      </w:pPr>
      <w:r>
        <w:rPr>
          <w:rFonts w:ascii="SimSun" w:eastAsia="SimSun" w:hAnsi="SimSun" w:cs="SimSun"/>
          <w:spacing w:val="0"/>
          <w:kern w:val="0"/>
          <w:sz w:val="24"/>
        </w:rPr>
        <w:t> </w:t>
      </w:r>
    </w:p>
    <w:p>
      <w:pPr>
        <w:pStyle w:val="Heading3"/>
        <w:keepNext w:val="0"/>
        <w:keepLines w:val="0"/>
        <w:spacing w:before="100" w:after="100" w:line="240" w:lineRule="auto"/>
        <w:ind w:left="100" w:right="100" w:firstLine="640" w:firstLineChars="0"/>
        <w:rPr>
          <w:rFonts w:ascii="Times New Roman" w:eastAsia="Times New Roman" w:hAnsi="Times New Roman" w:cs="Times New Roman"/>
          <w:b/>
          <w:bCs/>
          <w:kern w:val="0"/>
          <w:sz w:val="28"/>
          <w:szCs w:val="28"/>
        </w:rPr>
      </w:pPr>
      <w:bookmarkStart w:id="10" w:name="_Toc256000062"/>
      <w:r>
        <w:rPr>
          <w:rFonts w:ascii="SimHei" w:eastAsia="SimHei" w:hAnsi="SimHei" w:cs="SimHei"/>
          <w:b w:val="0"/>
          <w:bCs w:val="0"/>
          <w:spacing w:val="0"/>
        </w:rPr>
        <w:t>四、财政拨款收入支出决算总表</w:t>
      </w:r>
      <w:bookmarkEnd w:id="10"/>
    </w:p>
    <w:p>
      <w:pPr>
        <w:widowControl/>
        <w:spacing w:before="240" w:after="240"/>
        <w:jc w:val="left"/>
        <w:rPr>
          <w:rFonts w:ascii="Times New Roman" w:eastAsia="Times New Roman" w:hAnsi="Times New Roman" w:cs="Times New Roman"/>
          <w:vanish/>
          <w:kern w:val="0"/>
          <w:sz w:val="24"/>
        </w:rPr>
      </w:pPr>
      <w:r>
        <w:rPr>
          <w:rFonts w:ascii="Times New Roman" w:eastAsia="Times New Roman" w:hAnsi="Times New Roman" w:cs="Times New Roman"/>
          <w:vanish/>
          <w:kern w:val="0"/>
          <w:sz w:val="24"/>
        </w:rPr>
        <w:t>word horizontal layout</w:t>
      </w:r>
    </w:p>
    <w:tbl>
      <w:tblPr>
        <w:tblW w:w="5000" w:type="pct"/>
        <w:tblInd w:w="20" w:type="dxa"/>
        <w:tblLayout w:type="fixed"/>
        <w:tblCellMar>
          <w:top w:w="0" w:type="dxa"/>
          <w:left w:w="108" w:type="dxa"/>
          <w:bottom w:w="0" w:type="dxa"/>
          <w:right w:w="108" w:type="dxa"/>
        </w:tblCellMar>
      </w:tblPr>
      <w:tblGrid>
        <w:gridCol w:w="2165"/>
        <w:gridCol w:w="2165"/>
        <w:gridCol w:w="2165"/>
        <w:gridCol w:w="2166"/>
        <w:gridCol w:w="2166"/>
        <w:gridCol w:w="2166"/>
        <w:gridCol w:w="2166"/>
      </w:tblGrid>
      <w:tr>
        <w:tblPrEx>
          <w:tblW w:w="5000" w:type="pct"/>
          <w:tblInd w:w="20" w:type="dxa"/>
          <w:tblLayout w:type="fixed"/>
          <w:tblCellMar>
            <w:top w:w="0" w:type="dxa"/>
            <w:left w:w="108" w:type="dxa"/>
            <w:bottom w:w="0" w:type="dxa"/>
            <w:right w:w="108" w:type="dxa"/>
          </w:tblCellMar>
        </w:tblPrEx>
        <w:trPr>
          <w:cantSplit/>
          <w:tblHeader/>
        </w:trPr>
        <w:tc>
          <w:tcPr>
            <w:tcW w:w="16381" w:type="dxa"/>
            <w:gridSpan w:val="7"/>
            <w:noWrap w:val="0"/>
            <w:tcMar>
              <w:top w:w="15" w:type="dxa"/>
              <w:left w:w="108" w:type="dxa"/>
              <w:bottom w:w="15" w:type="dxa"/>
              <w:right w:w="108" w:type="dxa"/>
            </w:tcMar>
            <w:vAlign w:val="center"/>
            <w:hideMark/>
          </w:tcPr>
          <w:p>
            <w:pPr>
              <w:widowControl/>
              <w:jc w:val="center"/>
              <w:rPr>
                <w:rFonts w:ascii="SimHei" w:eastAsia="SimHei" w:hAnsi="SimHei" w:cs="SimHei"/>
                <w:b w:val="0"/>
                <w:bCs w:val="0"/>
                <w:i w:val="0"/>
                <w:iCs w:val="0"/>
                <w:smallCaps w:val="0"/>
                <w:color w:val="000000"/>
                <w:kern w:val="0"/>
                <w:sz w:val="36"/>
                <w:szCs w:val="36"/>
              </w:rPr>
            </w:pPr>
            <w:r>
              <w:rPr>
                <w:rFonts w:ascii="黑体" w:eastAsia="黑体" w:hAnsi="黑体" w:cs="黑体"/>
                <w:b w:val="0"/>
                <w:bCs w:val="0"/>
                <w:i w:val="0"/>
                <w:iCs w:val="0"/>
                <w:smallCaps w:val="0"/>
                <w:color w:val="000000"/>
                <w:kern w:val="0"/>
                <w:sz w:val="32"/>
                <w:szCs w:val="36"/>
              </w:rPr>
              <w:t>财政拨款收入支出决算总表</w:t>
            </w:r>
          </w:p>
        </w:tc>
      </w:tr>
      <w:tr>
        <w:tblPrEx>
          <w:tblW w:w="5000" w:type="pct"/>
          <w:tblInd w:w="20" w:type="dxa"/>
          <w:tblLayout w:type="fixed"/>
          <w:tblCellMar>
            <w:top w:w="0" w:type="dxa"/>
            <w:left w:w="108" w:type="dxa"/>
            <w:bottom w:w="0" w:type="dxa"/>
            <w:right w:w="108" w:type="dxa"/>
          </w:tblCellMar>
        </w:tblPrEx>
        <w:trPr>
          <w:cantSplit/>
          <w:tblHeader/>
        </w:trPr>
        <w:tc>
          <w:tcPr>
            <w:tcW w:w="21600" w:type="dxa"/>
            <w:gridSpan w:val="4"/>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hideMark/>
          </w:tcPr>
          <w:p>
            <w:pPr>
              <w:widowControl/>
              <w:jc w:val="righ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公开04表</w:t>
            </w:r>
          </w:p>
        </w:tc>
      </w:tr>
      <w:tr>
        <w:tblPrEx>
          <w:tblW w:w="5000" w:type="pct"/>
          <w:tblInd w:w="20" w:type="dxa"/>
          <w:tblLayout w:type="fixed"/>
          <w:tblCellMar>
            <w:top w:w="0" w:type="dxa"/>
            <w:left w:w="108" w:type="dxa"/>
            <w:bottom w:w="0" w:type="dxa"/>
            <w:right w:w="108" w:type="dxa"/>
          </w:tblCellMar>
        </w:tblPrEx>
        <w:trPr>
          <w:cantSplit/>
          <w:tblHeader/>
        </w:trPr>
        <w:tc>
          <w:tcPr>
            <w:tcW w:w="21600" w:type="dxa"/>
            <w:gridSpan w:val="4"/>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4"/>
                <w:szCs w:val="26"/>
              </w:rPr>
              <w:t>编制单位：中共泰宁县委社会工作部汇总</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hideMark/>
          </w:tcPr>
          <w:p>
            <w:pPr>
              <w:widowControl/>
              <w:jc w:val="righ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单位：万元</w:t>
            </w:r>
          </w:p>
        </w:tc>
      </w:tr>
      <w:tr>
        <w:tblPrEx>
          <w:tblW w:w="5000" w:type="pct"/>
          <w:tblInd w:w="20" w:type="dxa"/>
          <w:tblLayout w:type="fixed"/>
          <w:tblCellMar>
            <w:top w:w="0" w:type="dxa"/>
            <w:left w:w="108" w:type="dxa"/>
            <w:bottom w:w="0" w:type="dxa"/>
            <w:right w:w="108" w:type="dxa"/>
          </w:tblCellMar>
        </w:tblPrEx>
        <w:trPr>
          <w:cantSplit/>
          <w:tblHeader/>
        </w:trPr>
        <w:tc>
          <w:tcPr>
            <w:tcW w:w="21600" w:type="dxa"/>
            <w:gridSpan w:val="2"/>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收入</w:t>
            </w:r>
          </w:p>
        </w:tc>
        <w:tc>
          <w:tcPr>
            <w:tcW w:w="21600" w:type="dxa"/>
            <w:gridSpan w:val="5"/>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支出</w:t>
            </w:r>
          </w:p>
        </w:tc>
      </w:tr>
      <w:tr>
        <w:tblPrEx>
          <w:tblW w:w="5000" w:type="pct"/>
          <w:tblInd w:w="20" w:type="dxa"/>
          <w:tblLayout w:type="fixed"/>
          <w:tblCellMar>
            <w:top w:w="0" w:type="dxa"/>
            <w:left w:w="108" w:type="dxa"/>
            <w:bottom w:w="0" w:type="dxa"/>
            <w:right w:w="108" w:type="dxa"/>
          </w:tblCellMar>
        </w:tblPrEx>
        <w:trPr>
          <w:cantSplit/>
          <w:tblHeader/>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xml:space="preserve">项目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金额</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项目（按功能分类）</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合计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一般公共预算财政拨款</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政府性基金预算财政拨款</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国有资本经营预算财政拨款</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xml:space="preserve">一、一般公共预算财政拨款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398.74</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一、一般公共服务支出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414.05</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414.05</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二、政府性基金预算财政拨款</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二、外交支出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三、国有资本经营预算财政拨款</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三、国防支出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四、公共安全支出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五、教育支出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六、科学技术支出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七、文化旅游体育与传媒支出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八、社会保障和就业支出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九、卫生健康支出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十、节能环保支出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十一、城乡社区支出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十二、农林水支出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十三、交通运输支出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十四、资源勘探工业信息等支出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十五、商业服务业等支出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十六、金融支出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十七、援助其他地区支出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十八、自然资源海洋气象等支出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十九、住房保障支出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二十、粮油物资储备支出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二十一、国有资本经营预算支出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二十二、灾害防治及应急管理支出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二十三、其他支出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二十四、债务还本支出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二十五、债务付息支出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二十六、抗疫特别国债安排的支出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本年收入合计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398.74</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本年支出合计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414.05</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414.05</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xml:space="preserve">年初财政拨款结转和结余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16.63</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xml:space="preserve">年末财政拨款结转和结余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1.32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1.32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一、一般公共预算财政拨款</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16.63</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二、政府性基金预算财政拨款</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三、国有资本经营预算财政拨款</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xml:space="preserve">总计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415.36</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xml:space="preserve">总计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415.36</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415.36</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16381" w:type="dxa"/>
            <w:gridSpan w:val="7"/>
            <w:noWrap w:val="0"/>
            <w:tcMar>
              <w:top w:w="15" w:type="dxa"/>
              <w:left w:w="108" w:type="dxa"/>
              <w:bottom w:w="15" w:type="dxa"/>
              <w:right w:w="108" w:type="dxa"/>
            </w:tcMar>
            <w:vAlign w:val="center"/>
            <w:hideMark/>
          </w:tcPr>
          <w:p>
            <w:pPr>
              <w:widowControl/>
              <w:spacing w:line="375" w:lineRule="atLeast"/>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注：1.本表反映部门本年度一般公共预算财政拨款、政府性基金预算财政拨款和国有资本经营预算财政拨款的总收支和结转结余情况。</w:t>
            </w:r>
          </w:p>
        </w:tc>
      </w:tr>
      <w:tr>
        <w:tblPrEx>
          <w:tblW w:w="5000" w:type="pct"/>
          <w:tblInd w:w="20" w:type="dxa"/>
          <w:tblLayout w:type="fixed"/>
          <w:tblCellMar>
            <w:top w:w="0" w:type="dxa"/>
            <w:left w:w="108" w:type="dxa"/>
            <w:bottom w:w="0" w:type="dxa"/>
            <w:right w:w="108" w:type="dxa"/>
          </w:tblCellMar>
        </w:tblPrEx>
        <w:trPr>
          <w:cantSplit/>
        </w:trPr>
        <w:tc>
          <w:tcPr>
            <w:tcW w:w="16381" w:type="dxa"/>
            <w:gridSpan w:val="7"/>
            <w:noWrap w:val="0"/>
            <w:tcMar>
              <w:top w:w="15" w:type="dxa"/>
              <w:left w:w="108" w:type="dxa"/>
              <w:bottom w:w="15" w:type="dxa"/>
              <w:right w:w="108" w:type="dxa"/>
            </w:tcMar>
            <w:vAlign w:val="center"/>
            <w:hideMark/>
          </w:tcPr>
          <w:p>
            <w:pPr>
              <w:widowControl/>
              <w:spacing w:line="375" w:lineRule="atLeast"/>
              <w:jc w:val="left"/>
              <w:rPr>
                <w:rFonts w:ascii="Times New Roman" w:eastAsia="Times New Roman" w:hAnsi="Times New Roman" w:cs="Times New Roman"/>
                <w:b w:val="0"/>
                <w:bCs w:val="0"/>
                <w:i w:val="0"/>
                <w:iCs w:val="0"/>
                <w:smallCaps w:val="0"/>
                <w:color w:val="000000"/>
                <w:kern w:val="0"/>
                <w:sz w:val="26"/>
                <w:szCs w:val="26"/>
              </w:rPr>
            </w:pPr>
          </w:p>
        </w:tc>
      </w:tr>
    </w:tbl>
    <w:p>
      <w:pPr>
        <w:sectPr>
          <w:footerReference w:type="default" r:id="rId13"/>
          <w:type w:val="nextPage"/>
          <w:pgSz w:w="16383" w:h="11906" w:orient="landscape"/>
          <w:pgMar w:top="1134" w:right="720" w:bottom="1134" w:left="720" w:header="720" w:footer="720"/>
          <w:cols w:space="720"/>
        </w:sectPr>
      </w:pPr>
    </w:p>
    <w:p>
      <w:pPr>
        <w:rPr>
          <w:rFonts w:ascii="Times New Roman" w:eastAsia="Times New Roman" w:hAnsi="Times New Roman" w:cs="Times New Roman"/>
          <w:vanish/>
          <w:kern w:val="0"/>
          <w:sz w:val="24"/>
        </w:rPr>
      </w:pPr>
      <w:r>
        <w:rPr>
          <w:rFonts w:ascii="Times New Roman" w:eastAsia="Times New Roman" w:hAnsi="Times New Roman" w:cs="Times New Roman"/>
          <w:kern w:val="0"/>
          <w:sz w:val="24"/>
        </w:rPr>
        <w:t> </w:t>
      </w:r>
    </w:p>
    <w:p>
      <w:pPr>
        <w:pStyle w:val="p"/>
        <w:widowControl/>
        <w:spacing w:before="240" w:after="100"/>
        <w:ind w:left="100" w:right="100" w:firstLine="0"/>
        <w:jc w:val="left"/>
        <w:rPr>
          <w:rFonts w:ascii="Times New Roman" w:eastAsia="Times New Roman" w:hAnsi="Times New Roman" w:cs="Times New Roman"/>
          <w:kern w:val="0"/>
          <w:sz w:val="24"/>
        </w:rPr>
      </w:pPr>
      <w:r>
        <w:rPr>
          <w:rFonts w:ascii="SimSun" w:eastAsia="SimSun" w:hAnsi="SimSun" w:cs="SimSun"/>
          <w:spacing w:val="0"/>
          <w:kern w:val="0"/>
          <w:sz w:val="24"/>
        </w:rPr>
        <w:t> </w:t>
      </w:r>
    </w:p>
    <w:p>
      <w:pPr>
        <w:pStyle w:val="Heading3"/>
        <w:keepNext w:val="0"/>
        <w:keepLines w:val="0"/>
        <w:spacing w:before="100" w:after="100" w:line="240" w:lineRule="auto"/>
        <w:ind w:left="100" w:right="100" w:firstLine="640" w:firstLineChars="0"/>
        <w:rPr>
          <w:rFonts w:ascii="Times New Roman" w:eastAsia="Times New Roman" w:hAnsi="Times New Roman" w:cs="Times New Roman"/>
          <w:b/>
          <w:bCs/>
          <w:kern w:val="0"/>
          <w:sz w:val="28"/>
          <w:szCs w:val="28"/>
        </w:rPr>
      </w:pPr>
      <w:bookmarkStart w:id="11" w:name="_Toc256000063"/>
      <w:r>
        <w:rPr>
          <w:rFonts w:ascii="SimHei" w:eastAsia="SimHei" w:hAnsi="SimHei" w:cs="SimHei"/>
          <w:b w:val="0"/>
          <w:bCs w:val="0"/>
          <w:spacing w:val="0"/>
        </w:rPr>
        <w:t>五、一般公共预算财政拨款支出决算表</w:t>
      </w:r>
      <w:bookmarkEnd w:id="11"/>
    </w:p>
    <w:p>
      <w:pPr>
        <w:widowControl/>
        <w:spacing w:before="240" w:after="240"/>
        <w:jc w:val="left"/>
        <w:rPr>
          <w:rFonts w:ascii="Times New Roman" w:eastAsia="Times New Roman" w:hAnsi="Times New Roman" w:cs="Times New Roman"/>
          <w:vanish/>
          <w:kern w:val="0"/>
          <w:sz w:val="24"/>
        </w:rPr>
      </w:pPr>
      <w:r>
        <w:rPr>
          <w:rFonts w:ascii="Times New Roman" w:eastAsia="Times New Roman" w:hAnsi="Times New Roman" w:cs="Times New Roman"/>
          <w:vanish/>
          <w:kern w:val="0"/>
          <w:sz w:val="24"/>
        </w:rPr>
        <w:t>word horizontal layout gk05</w:t>
      </w:r>
    </w:p>
    <w:tbl>
      <w:tblPr>
        <w:tblW w:w="5000" w:type="pct"/>
        <w:tblInd w:w="20" w:type="dxa"/>
        <w:tblLayout w:type="fixed"/>
        <w:tblCellMar>
          <w:top w:w="0" w:type="dxa"/>
          <w:left w:w="108" w:type="dxa"/>
          <w:bottom w:w="0" w:type="dxa"/>
          <w:right w:w="108" w:type="dxa"/>
        </w:tblCellMar>
      </w:tblPr>
      <w:tblGrid>
        <w:gridCol w:w="1740"/>
        <w:gridCol w:w="3354"/>
        <w:gridCol w:w="3355"/>
        <w:gridCol w:w="3355"/>
        <w:gridCol w:w="3355"/>
      </w:tblGrid>
      <w:tr>
        <w:tblPrEx>
          <w:tblW w:w="5000" w:type="pct"/>
          <w:tblInd w:w="20" w:type="dxa"/>
          <w:tblLayout w:type="fixed"/>
          <w:tblCellMar>
            <w:top w:w="0" w:type="dxa"/>
            <w:left w:w="108" w:type="dxa"/>
            <w:bottom w:w="0" w:type="dxa"/>
            <w:right w:w="108" w:type="dxa"/>
          </w:tblCellMar>
        </w:tblPrEx>
        <w:trPr>
          <w:cantSplit/>
          <w:tblHeader/>
        </w:trPr>
        <w:tc>
          <w:tcPr>
            <w:tcW w:w="16381" w:type="dxa"/>
            <w:gridSpan w:val="5"/>
            <w:noWrap w:val="0"/>
            <w:tcMar>
              <w:top w:w="15" w:type="dxa"/>
              <w:left w:w="108" w:type="dxa"/>
              <w:bottom w:w="15" w:type="dxa"/>
              <w:right w:w="108" w:type="dxa"/>
            </w:tcMar>
            <w:vAlign w:val="center"/>
            <w:hideMark/>
          </w:tcPr>
          <w:p>
            <w:pPr>
              <w:widowControl/>
              <w:jc w:val="center"/>
              <w:rPr>
                <w:rFonts w:ascii="SimHei" w:eastAsia="SimHei" w:hAnsi="SimHei" w:cs="SimHei"/>
                <w:b w:val="0"/>
                <w:bCs w:val="0"/>
                <w:i w:val="0"/>
                <w:iCs w:val="0"/>
                <w:smallCaps w:val="0"/>
                <w:color w:val="000000"/>
                <w:kern w:val="0"/>
                <w:sz w:val="36"/>
                <w:szCs w:val="36"/>
              </w:rPr>
            </w:pPr>
            <w:r>
              <w:rPr>
                <w:rFonts w:ascii="黑体" w:eastAsia="黑体" w:hAnsi="黑体" w:cs="黑体"/>
                <w:b w:val="0"/>
                <w:bCs w:val="0"/>
                <w:i w:val="0"/>
                <w:iCs w:val="0"/>
                <w:smallCaps w:val="0"/>
                <w:color w:val="000000"/>
                <w:kern w:val="0"/>
                <w:sz w:val="32"/>
                <w:szCs w:val="36"/>
              </w:rPr>
              <w:t>一般公共预算财政拨款支出决算表</w:t>
            </w:r>
          </w:p>
        </w:tc>
      </w:tr>
      <w:tr>
        <w:tblPrEx>
          <w:tblW w:w="5000" w:type="pct"/>
          <w:tblInd w:w="20" w:type="dxa"/>
          <w:tblLayout w:type="fixed"/>
          <w:tblCellMar>
            <w:top w:w="0" w:type="dxa"/>
            <w:left w:w="108" w:type="dxa"/>
            <w:bottom w:w="0" w:type="dxa"/>
            <w:right w:w="108" w:type="dxa"/>
          </w:tblCellMar>
        </w:tblPrEx>
        <w:trPr>
          <w:cantSplit/>
          <w:tblHeader/>
        </w:trPr>
        <w:tc>
          <w:tcPr>
            <w:tcW w:w="10540" w:type="dxa"/>
            <w:gridSpan w:val="2"/>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hideMark/>
          </w:tcPr>
          <w:p>
            <w:pPr>
              <w:widowControl/>
              <w:jc w:val="righ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公开05表</w:t>
            </w:r>
          </w:p>
        </w:tc>
      </w:tr>
      <w:tr>
        <w:tblPrEx>
          <w:tblW w:w="5000" w:type="pct"/>
          <w:tblInd w:w="20" w:type="dxa"/>
          <w:tblLayout w:type="fixed"/>
          <w:tblCellMar>
            <w:top w:w="0" w:type="dxa"/>
            <w:left w:w="108" w:type="dxa"/>
            <w:bottom w:w="0" w:type="dxa"/>
            <w:right w:w="108" w:type="dxa"/>
          </w:tblCellMar>
        </w:tblPrEx>
        <w:trPr>
          <w:cantSplit/>
          <w:tblHeader/>
        </w:trPr>
        <w:tc>
          <w:tcPr>
            <w:tcW w:w="10540" w:type="dxa"/>
            <w:gridSpan w:val="3"/>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4"/>
                <w:szCs w:val="26"/>
              </w:rPr>
              <w:t>编制单位：中共泰宁县委社会工作部汇总</w:t>
            </w:r>
          </w:p>
        </w:tc>
        <w:tc>
          <w:tcPr>
            <w:tcW w:w="21600" w:type="dxa"/>
            <w:gridSpan w:val="2"/>
            <w:noWrap w:val="0"/>
            <w:tcMar>
              <w:top w:w="15" w:type="dxa"/>
              <w:left w:w="108" w:type="dxa"/>
              <w:bottom w:w="15" w:type="dxa"/>
              <w:right w:w="108" w:type="dxa"/>
            </w:tcMar>
            <w:vAlign w:val="center"/>
            <w:hideMark/>
          </w:tcPr>
          <w:p>
            <w:pPr>
              <w:widowControl/>
              <w:jc w:val="righ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单位：万元</w:t>
            </w:r>
          </w:p>
        </w:tc>
      </w:tr>
      <w:tr>
        <w:tblPrEx>
          <w:tblW w:w="5000" w:type="pct"/>
          <w:tblInd w:w="20" w:type="dxa"/>
          <w:tblLayout w:type="fixed"/>
          <w:tblCellMar>
            <w:top w:w="0" w:type="dxa"/>
            <w:left w:w="108" w:type="dxa"/>
            <w:bottom w:w="0" w:type="dxa"/>
            <w:right w:w="108" w:type="dxa"/>
          </w:tblCellMar>
        </w:tblPrEx>
        <w:trPr>
          <w:cantSplit/>
          <w:tblHeader/>
        </w:trPr>
        <w:tc>
          <w:tcPr>
            <w:tcW w:w="10545" w:type="dxa"/>
            <w:gridSpan w:val="2"/>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项目</w:t>
            </w:r>
          </w:p>
        </w:tc>
        <w:tc>
          <w:tcPr>
            <w:tcW w:w="21600" w:type="dxa"/>
            <w:gridSpan w:val="3"/>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本年支出</w:t>
            </w:r>
          </w:p>
        </w:tc>
      </w:tr>
      <w:tr>
        <w:tblPrEx>
          <w:tblW w:w="5000" w:type="pct"/>
          <w:tblInd w:w="20" w:type="dxa"/>
          <w:tblLayout w:type="fixed"/>
          <w:tblCellMar>
            <w:top w:w="0" w:type="dxa"/>
            <w:left w:w="108" w:type="dxa"/>
            <w:bottom w:w="0" w:type="dxa"/>
            <w:right w:w="108" w:type="dxa"/>
          </w:tblCellMar>
        </w:tblPrEx>
        <w:trPr>
          <w:cantSplit/>
          <w:tblHeader/>
        </w:trPr>
        <w:tc>
          <w:tcPr>
            <w:tcW w:w="10545"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功能分类科目编码</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科目名称</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小计</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基本支出</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项目支出</w:t>
            </w:r>
          </w:p>
        </w:tc>
      </w:tr>
      <w:tr>
        <w:tblPrEx>
          <w:tblW w:w="5000" w:type="pct"/>
          <w:tblInd w:w="20" w:type="dxa"/>
          <w:tblLayout w:type="fixed"/>
          <w:tblCellMar>
            <w:top w:w="0" w:type="dxa"/>
            <w:left w:w="108" w:type="dxa"/>
            <w:bottom w:w="0" w:type="dxa"/>
            <w:right w:w="108" w:type="dxa"/>
          </w:tblCellMar>
        </w:tblPrEx>
        <w:trPr>
          <w:cantSplit/>
          <w:tblHeader/>
        </w:trPr>
        <w:tc>
          <w:tcPr>
            <w:tcW w:w="3486"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4431"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2652"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2906"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2906"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r>
      <w:tr>
        <w:tblPrEx>
          <w:tblW w:w="5000" w:type="pct"/>
          <w:tblInd w:w="20" w:type="dxa"/>
          <w:tblLayout w:type="fixed"/>
          <w:tblCellMar>
            <w:top w:w="0" w:type="dxa"/>
            <w:left w:w="108" w:type="dxa"/>
            <w:bottom w:w="0" w:type="dxa"/>
            <w:right w:w="108" w:type="dxa"/>
          </w:tblCellMar>
        </w:tblPrEx>
        <w:trPr>
          <w:cantSplit/>
          <w:tblHeader/>
        </w:trPr>
        <w:tc>
          <w:tcPr>
            <w:tcW w:w="10545" w:type="dxa"/>
            <w:gridSpan w:val="2"/>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合计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414.05</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373.05</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41.00</w:t>
            </w:r>
          </w:p>
        </w:tc>
      </w:tr>
      <w:tr>
        <w:tblPrEx>
          <w:tblW w:w="5000" w:type="pct"/>
          <w:tblInd w:w="20" w:type="dxa"/>
          <w:tblLayout w:type="fixed"/>
          <w:tblCellMar>
            <w:top w:w="0" w:type="dxa"/>
            <w:left w:w="108" w:type="dxa"/>
            <w:bottom w:w="0" w:type="dxa"/>
            <w:right w:w="108" w:type="dxa"/>
          </w:tblCellMar>
        </w:tblPrEx>
        <w:trPr>
          <w:cantSplit/>
        </w:trPr>
        <w:tc>
          <w:tcPr>
            <w:tcW w:w="10545"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一般公共服务支出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414.05</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373.05</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41.00</w:t>
            </w:r>
          </w:p>
        </w:tc>
      </w:tr>
      <w:tr>
        <w:tblPrEx>
          <w:tblW w:w="5000" w:type="pct"/>
          <w:tblInd w:w="20" w:type="dxa"/>
          <w:tblLayout w:type="fixed"/>
          <w:tblCellMar>
            <w:top w:w="0" w:type="dxa"/>
            <w:left w:w="108" w:type="dxa"/>
            <w:bottom w:w="0" w:type="dxa"/>
            <w:right w:w="108" w:type="dxa"/>
          </w:tblCellMar>
        </w:tblPrEx>
        <w:trPr>
          <w:cantSplit/>
        </w:trPr>
        <w:tc>
          <w:tcPr>
            <w:tcW w:w="10545"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20132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组织事务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0.82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0.82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10545"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2013201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行政运行</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0.82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0.82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10545"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20139</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社会工作事务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357.85</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327.03</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30.82</w:t>
            </w:r>
          </w:p>
        </w:tc>
      </w:tr>
      <w:tr>
        <w:tblPrEx>
          <w:tblW w:w="5000" w:type="pct"/>
          <w:tblInd w:w="20" w:type="dxa"/>
          <w:tblLayout w:type="fixed"/>
          <w:tblCellMar>
            <w:top w:w="0" w:type="dxa"/>
            <w:left w:w="108" w:type="dxa"/>
            <w:bottom w:w="0" w:type="dxa"/>
            <w:right w:w="108" w:type="dxa"/>
          </w:tblCellMar>
        </w:tblPrEx>
        <w:trPr>
          <w:cantSplit/>
        </w:trPr>
        <w:tc>
          <w:tcPr>
            <w:tcW w:w="10545"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2013901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行政运行</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249.90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249.90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10545"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2013904</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专项业务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93.82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63.00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30.82</w:t>
            </w:r>
          </w:p>
        </w:tc>
      </w:tr>
      <w:tr>
        <w:tblPrEx>
          <w:tblW w:w="5000" w:type="pct"/>
          <w:tblInd w:w="20" w:type="dxa"/>
          <w:tblLayout w:type="fixed"/>
          <w:tblCellMar>
            <w:top w:w="0" w:type="dxa"/>
            <w:left w:w="108" w:type="dxa"/>
            <w:bottom w:w="0" w:type="dxa"/>
            <w:right w:w="108" w:type="dxa"/>
          </w:tblCellMar>
        </w:tblPrEx>
        <w:trPr>
          <w:cantSplit/>
        </w:trPr>
        <w:tc>
          <w:tcPr>
            <w:tcW w:w="10545"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2013950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事业运行</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5.41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5.41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10545"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2013999</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其他社会工作事务支出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8.72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8.72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10545"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20140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信访事务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55.38</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45.20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10.18</w:t>
            </w:r>
          </w:p>
        </w:tc>
      </w:tr>
      <w:tr>
        <w:tblPrEx>
          <w:tblW w:w="5000" w:type="pct"/>
          <w:tblInd w:w="20" w:type="dxa"/>
          <w:tblLayout w:type="fixed"/>
          <w:tblCellMar>
            <w:top w:w="0" w:type="dxa"/>
            <w:left w:w="108" w:type="dxa"/>
            <w:bottom w:w="0" w:type="dxa"/>
            <w:right w:w="108" w:type="dxa"/>
          </w:tblCellMar>
        </w:tblPrEx>
        <w:trPr>
          <w:cantSplit/>
        </w:trPr>
        <w:tc>
          <w:tcPr>
            <w:tcW w:w="10545"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2014001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行政运行</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35.00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35.00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10545"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2014004</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信访业务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20.38</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10.20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10.18</w:t>
            </w:r>
          </w:p>
        </w:tc>
      </w:tr>
      <w:tr>
        <w:tblPrEx>
          <w:tblW w:w="5000" w:type="pct"/>
          <w:tblInd w:w="20" w:type="dxa"/>
          <w:tblLayout w:type="fixed"/>
          <w:tblCellMar>
            <w:top w:w="0" w:type="dxa"/>
            <w:left w:w="108" w:type="dxa"/>
            <w:bottom w:w="0" w:type="dxa"/>
            <w:right w:w="108" w:type="dxa"/>
          </w:tblCellMar>
        </w:tblPrEx>
        <w:trPr>
          <w:cantSplit/>
        </w:trPr>
        <w:tc>
          <w:tcPr>
            <w:tcW w:w="16381" w:type="dxa"/>
            <w:gridSpan w:val="5"/>
            <w:noWrap w:val="0"/>
            <w:tcMar>
              <w:top w:w="15" w:type="dxa"/>
              <w:left w:w="108" w:type="dxa"/>
              <w:bottom w:w="15" w:type="dxa"/>
              <w:right w:w="108" w:type="dxa"/>
            </w:tcMar>
            <w:vAlign w:val="center"/>
            <w:hideMark/>
          </w:tcPr>
          <w:p>
            <w:pPr>
              <w:widowControl/>
              <w:spacing w:line="375" w:lineRule="atLeast"/>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注：1.本表反映部门本年度一般公共预算财政拨款支出情况。</w:t>
            </w:r>
          </w:p>
        </w:tc>
      </w:tr>
      <w:tr>
        <w:tblPrEx>
          <w:tblW w:w="5000" w:type="pct"/>
          <w:tblInd w:w="20" w:type="dxa"/>
          <w:tblLayout w:type="fixed"/>
          <w:tblCellMar>
            <w:top w:w="0" w:type="dxa"/>
            <w:left w:w="108" w:type="dxa"/>
            <w:bottom w:w="0" w:type="dxa"/>
            <w:right w:w="108" w:type="dxa"/>
          </w:tblCellMar>
        </w:tblPrEx>
        <w:trPr>
          <w:cantSplit/>
        </w:trPr>
        <w:tc>
          <w:tcPr>
            <w:tcW w:w="16381" w:type="dxa"/>
            <w:gridSpan w:val="5"/>
            <w:noWrap w:val="0"/>
            <w:tcMar>
              <w:top w:w="15" w:type="dxa"/>
              <w:left w:w="108" w:type="dxa"/>
              <w:bottom w:w="15" w:type="dxa"/>
              <w:right w:w="108" w:type="dxa"/>
            </w:tcMar>
            <w:vAlign w:val="center"/>
            <w:hideMark/>
          </w:tcPr>
          <w:p>
            <w:pPr>
              <w:widowControl/>
              <w:spacing w:line="375" w:lineRule="atLeast"/>
              <w:jc w:val="left"/>
              <w:rPr>
                <w:rFonts w:ascii="Times New Roman" w:eastAsia="Times New Roman" w:hAnsi="Times New Roman" w:cs="Times New Roman"/>
                <w:b w:val="0"/>
                <w:bCs w:val="0"/>
                <w:i w:val="0"/>
                <w:iCs w:val="0"/>
                <w:smallCaps w:val="0"/>
                <w:color w:val="000000"/>
                <w:kern w:val="0"/>
                <w:sz w:val="26"/>
                <w:szCs w:val="26"/>
              </w:rPr>
            </w:pPr>
          </w:p>
        </w:tc>
      </w:tr>
    </w:tbl>
    <w:p>
      <w:pPr>
        <w:sectPr>
          <w:footerReference w:type="default" r:id="rId14"/>
          <w:type w:val="nextPage"/>
          <w:pgSz w:w="16383" w:h="11906" w:orient="landscape"/>
          <w:pgMar w:top="1134" w:right="720" w:bottom="1134" w:left="720" w:header="720" w:footer="720"/>
          <w:cols w:space="720"/>
        </w:sectPr>
      </w:pPr>
    </w:p>
    <w:p>
      <w:pPr>
        <w:rPr>
          <w:rFonts w:ascii="Times New Roman" w:eastAsia="Times New Roman" w:hAnsi="Times New Roman" w:cs="Times New Roman"/>
          <w:vanish/>
          <w:kern w:val="0"/>
          <w:sz w:val="24"/>
        </w:rPr>
      </w:pPr>
      <w:r>
        <w:rPr>
          <w:rFonts w:ascii="Times New Roman" w:eastAsia="Times New Roman" w:hAnsi="Times New Roman" w:cs="Times New Roman"/>
          <w:kern w:val="0"/>
          <w:sz w:val="24"/>
        </w:rPr>
        <w:t> </w:t>
      </w:r>
    </w:p>
    <w:p>
      <w:pPr>
        <w:pStyle w:val="p"/>
        <w:widowControl/>
        <w:spacing w:before="240" w:after="100"/>
        <w:ind w:left="100" w:right="100" w:firstLine="0"/>
        <w:jc w:val="left"/>
        <w:rPr>
          <w:rFonts w:ascii="Times New Roman" w:eastAsia="Times New Roman" w:hAnsi="Times New Roman" w:cs="Times New Roman"/>
          <w:kern w:val="0"/>
          <w:sz w:val="24"/>
        </w:rPr>
      </w:pPr>
      <w:r>
        <w:rPr>
          <w:rFonts w:ascii="SimSun" w:eastAsia="SimSun" w:hAnsi="SimSun" w:cs="SimSun"/>
          <w:spacing w:val="0"/>
          <w:kern w:val="0"/>
          <w:sz w:val="24"/>
        </w:rPr>
        <w:t> </w:t>
      </w:r>
    </w:p>
    <w:p>
      <w:pPr>
        <w:pStyle w:val="Heading3"/>
        <w:keepNext w:val="0"/>
        <w:keepLines w:val="0"/>
        <w:spacing w:before="100" w:after="100" w:line="240" w:lineRule="auto"/>
        <w:ind w:left="100" w:right="100" w:firstLine="640" w:firstLineChars="0"/>
        <w:rPr>
          <w:rFonts w:ascii="Times New Roman" w:eastAsia="Times New Roman" w:hAnsi="Times New Roman" w:cs="Times New Roman"/>
          <w:b/>
          <w:bCs/>
          <w:kern w:val="0"/>
          <w:sz w:val="28"/>
          <w:szCs w:val="28"/>
        </w:rPr>
      </w:pPr>
      <w:bookmarkStart w:id="12" w:name="_Toc256000064"/>
      <w:r>
        <w:rPr>
          <w:rFonts w:ascii="SimHei" w:eastAsia="SimHei" w:hAnsi="SimHei" w:cs="SimHei"/>
          <w:b w:val="0"/>
          <w:bCs w:val="0"/>
          <w:spacing w:val="0"/>
        </w:rPr>
        <w:t>六、一般公共预算财政拨款基本支出决算表</w:t>
      </w:r>
      <w:bookmarkEnd w:id="12"/>
    </w:p>
    <w:p>
      <w:pPr>
        <w:widowControl/>
        <w:spacing w:before="240" w:after="240"/>
        <w:jc w:val="left"/>
        <w:rPr>
          <w:rFonts w:ascii="Times New Roman" w:eastAsia="Times New Roman" w:hAnsi="Times New Roman" w:cs="Times New Roman"/>
          <w:vanish/>
          <w:kern w:val="0"/>
          <w:sz w:val="24"/>
        </w:rPr>
      </w:pPr>
      <w:r>
        <w:rPr>
          <w:rFonts w:ascii="Times New Roman" w:eastAsia="Times New Roman" w:hAnsi="Times New Roman" w:cs="Times New Roman"/>
          <w:vanish/>
          <w:kern w:val="0"/>
          <w:sz w:val="24"/>
        </w:rPr>
        <w:t>word horizontal layout</w:t>
      </w:r>
    </w:p>
    <w:tbl>
      <w:tblPr>
        <w:tblW w:w="5000" w:type="pct"/>
        <w:tblInd w:w="20" w:type="dxa"/>
        <w:tblLayout w:type="fixed"/>
        <w:tblCellMar>
          <w:top w:w="0" w:type="dxa"/>
          <w:left w:w="108" w:type="dxa"/>
          <w:bottom w:w="0" w:type="dxa"/>
          <w:right w:w="108" w:type="dxa"/>
        </w:tblCellMar>
      </w:tblPr>
      <w:tblGrid>
        <w:gridCol w:w="1685"/>
        <w:gridCol w:w="1685"/>
        <w:gridCol w:w="1685"/>
        <w:gridCol w:w="1684"/>
        <w:gridCol w:w="1684"/>
        <w:gridCol w:w="1684"/>
        <w:gridCol w:w="1684"/>
        <w:gridCol w:w="1684"/>
        <w:gridCol w:w="1684"/>
      </w:tblGrid>
      <w:tr>
        <w:tblPrEx>
          <w:tblW w:w="5000" w:type="pct"/>
          <w:tblInd w:w="20" w:type="dxa"/>
          <w:tblLayout w:type="fixed"/>
          <w:tblCellMar>
            <w:top w:w="0" w:type="dxa"/>
            <w:left w:w="108" w:type="dxa"/>
            <w:bottom w:w="0" w:type="dxa"/>
            <w:right w:w="108" w:type="dxa"/>
          </w:tblCellMar>
        </w:tblPrEx>
        <w:trPr>
          <w:cantSplit/>
          <w:tblHeader/>
        </w:trPr>
        <w:tc>
          <w:tcPr>
            <w:tcW w:w="16377" w:type="dxa"/>
            <w:gridSpan w:val="9"/>
            <w:noWrap w:val="0"/>
            <w:tcMar>
              <w:top w:w="15" w:type="dxa"/>
              <w:left w:w="108" w:type="dxa"/>
              <w:bottom w:w="15" w:type="dxa"/>
              <w:right w:w="108" w:type="dxa"/>
            </w:tcMar>
            <w:vAlign w:val="center"/>
            <w:hideMark/>
          </w:tcPr>
          <w:p>
            <w:pPr>
              <w:widowControl/>
              <w:jc w:val="center"/>
              <w:rPr>
                <w:rFonts w:ascii="SimHei" w:eastAsia="SimHei" w:hAnsi="SimHei" w:cs="SimHei"/>
                <w:b w:val="0"/>
                <w:bCs w:val="0"/>
                <w:i w:val="0"/>
                <w:iCs w:val="0"/>
                <w:smallCaps w:val="0"/>
                <w:color w:val="000000"/>
                <w:kern w:val="0"/>
                <w:sz w:val="36"/>
                <w:szCs w:val="36"/>
              </w:rPr>
            </w:pPr>
            <w:r>
              <w:rPr>
                <w:rFonts w:ascii="黑体" w:eastAsia="黑体" w:hAnsi="黑体" w:cs="黑体"/>
                <w:b w:val="0"/>
                <w:bCs w:val="0"/>
                <w:i w:val="0"/>
                <w:iCs w:val="0"/>
                <w:smallCaps w:val="0"/>
                <w:color w:val="000000"/>
                <w:kern w:val="0"/>
                <w:sz w:val="32"/>
                <w:szCs w:val="36"/>
              </w:rPr>
              <w:t>一般公共预算财政拨款基本支出决算表</w:t>
            </w:r>
          </w:p>
        </w:tc>
      </w:tr>
      <w:tr>
        <w:tblPrEx>
          <w:tblW w:w="5000" w:type="pct"/>
          <w:tblInd w:w="20" w:type="dxa"/>
          <w:tblLayout w:type="fixed"/>
          <w:tblCellMar>
            <w:top w:w="0" w:type="dxa"/>
            <w:left w:w="108" w:type="dxa"/>
            <w:bottom w:w="0" w:type="dxa"/>
            <w:right w:w="108" w:type="dxa"/>
          </w:tblCellMar>
        </w:tblPrEx>
        <w:trPr>
          <w:cantSplit/>
          <w:tblHeader/>
        </w:trPr>
        <w:tc>
          <w:tcPr>
            <w:tcW w:w="21600" w:type="dxa"/>
            <w:gridSpan w:val="4"/>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hideMark/>
          </w:tcPr>
          <w:p>
            <w:pPr>
              <w:widowControl/>
              <w:jc w:val="righ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公开06表</w:t>
            </w:r>
          </w:p>
        </w:tc>
      </w:tr>
      <w:tr>
        <w:tblPrEx>
          <w:tblW w:w="5000" w:type="pct"/>
          <w:tblInd w:w="20" w:type="dxa"/>
          <w:tblLayout w:type="fixed"/>
          <w:tblCellMar>
            <w:top w:w="0" w:type="dxa"/>
            <w:left w:w="108" w:type="dxa"/>
            <w:bottom w:w="0" w:type="dxa"/>
            <w:right w:w="108" w:type="dxa"/>
          </w:tblCellMar>
        </w:tblPrEx>
        <w:trPr>
          <w:cantSplit/>
          <w:tblHeader/>
        </w:trPr>
        <w:tc>
          <w:tcPr>
            <w:tcW w:w="21600" w:type="dxa"/>
            <w:gridSpan w:val="6"/>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4"/>
                <w:szCs w:val="26"/>
              </w:rPr>
              <w:t>编制单位：中共泰宁县委社会工作部汇总</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hideMark/>
          </w:tcPr>
          <w:p>
            <w:pPr>
              <w:widowControl/>
              <w:jc w:val="righ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单位：万元</w:t>
            </w:r>
          </w:p>
        </w:tc>
      </w:tr>
      <w:tr>
        <w:tblPrEx>
          <w:tblW w:w="5000" w:type="pct"/>
          <w:tblInd w:w="20" w:type="dxa"/>
          <w:tblLayout w:type="fixed"/>
          <w:tblCellMar>
            <w:top w:w="0" w:type="dxa"/>
            <w:left w:w="108" w:type="dxa"/>
            <w:bottom w:w="0" w:type="dxa"/>
            <w:right w:w="108" w:type="dxa"/>
          </w:tblCellMar>
        </w:tblPrEx>
        <w:trPr>
          <w:cantSplit/>
          <w:tblHeader/>
        </w:trPr>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经济分类科目编码</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科目名称</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金额</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经济分类科目编码</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科目名称</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金额</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经济分类科目编码</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科目名称</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金额</w:t>
            </w:r>
          </w:p>
        </w:tc>
      </w:tr>
      <w:tr>
        <w:tblPrEx>
          <w:tblW w:w="5000" w:type="pct"/>
          <w:tblInd w:w="20" w:type="dxa"/>
          <w:tblLayout w:type="fixed"/>
          <w:tblCellMar>
            <w:top w:w="0" w:type="dxa"/>
            <w:left w:w="108" w:type="dxa"/>
            <w:bottom w:w="0" w:type="dxa"/>
            <w:right w:w="108" w:type="dxa"/>
          </w:tblCellMar>
        </w:tblPrEx>
        <w:trPr>
          <w:cantSplit/>
          <w:tblHeader/>
        </w:trPr>
        <w:tc>
          <w:tcPr>
            <w:tcW w:w="1805"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2582"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158"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805"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935"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093"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805"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3100"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094"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工资福利支出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331.25</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商品和服务支出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24.72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310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资本性支出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2.90</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30101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基本工资</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129.08</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30201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办公费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1.28</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31001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房屋建筑物购建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30102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津贴补贴</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26.82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30202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印刷费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31002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办公设备购置</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2.90</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30103</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奖金</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28.74</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30204</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手续费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0.22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31003</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专用设备购置</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30106</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伙食补助费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30205</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水费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0.05</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31005</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基础设施建设</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30107</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绩效工资</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30206</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电费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1.37</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31006</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大型修缮</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30108</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机关事业单位基本养老保险缴费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75.99</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30207</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邮电费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1.12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31007</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信息网络及软件购置更新</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30109</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职业年金缴费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12.54</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30208</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取暖费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31008</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物资储备</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30110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职工基本医疗保险缴费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13.55</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30209</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物业管理费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31009</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土地补偿</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30111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公务员医疗补助缴费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30211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差旅费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1.28</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31010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安置补助</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30112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其他社会保障缴费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1.90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30212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因公出国（境）费用</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31011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地上附着物和青苗补偿</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30113</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住房公积金</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23.09</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30213</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维修（护）费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4.97</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31012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拆迁补偿</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30114</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医疗费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30214</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租赁费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31013</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公务用车购置</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30199</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其他工资福利支出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19.54</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30215</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会议费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31019</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其他交通工具购置</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303</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对个人和家庭的补助</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14.17</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30216</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培训费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0.52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31021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文物和陈列品购置</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30301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离休费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30217</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公务接待费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31022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无形资产购置</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30302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退休费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30218</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专用材料费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31099</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其他资本性支出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30303</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退职（役）费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30224</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被装购置费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312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对企业补助</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30304</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抚恤金</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30225</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专用燃料费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31201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资本金注入</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30305</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生活补助</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30226</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劳务费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31203</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政府投资基金股权投资</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30306</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救济费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30227</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委托业务费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31204</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费用补贴</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30307</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医疗费补助</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30228</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工会经费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4.06</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31205</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利息补贴</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30308</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助学金</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30229</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福利费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2.67</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31206</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其他资本性补助</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30309</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奖励金</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30231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公务用车运行维护费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31299</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其他对企业补助</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30310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个人农业生产补贴</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9"/>
                <w:szCs w:val="29"/>
              </w:rPr>
            </w:pPr>
            <w:r>
              <w:rPr>
                <w:rFonts w:ascii="宋体" w:eastAsia="宋体" w:hAnsi="宋体" w:cs="宋体"/>
                <w:b w:val="0"/>
                <w:bCs w:val="0"/>
                <w:i w:val="0"/>
                <w:iCs w:val="0"/>
                <w:smallCaps w:val="0"/>
                <w:color w:val="000000"/>
                <w:kern w:val="0"/>
                <w:sz w:val="21"/>
                <w:szCs w:val="29"/>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30239</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其他交通费用</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9"/>
                <w:szCs w:val="29"/>
              </w:rPr>
            </w:pPr>
            <w:r>
              <w:rPr>
                <w:rFonts w:ascii="宋体" w:eastAsia="宋体" w:hAnsi="宋体" w:cs="宋体"/>
                <w:b w:val="0"/>
                <w:bCs w:val="0"/>
                <w:i w:val="0"/>
                <w:iCs w:val="0"/>
                <w:smallCaps w:val="0"/>
                <w:color w:val="000000"/>
                <w:kern w:val="0"/>
                <w:sz w:val="21"/>
                <w:szCs w:val="29"/>
              </w:rPr>
              <w:t>6.66</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399</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其他支出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9"/>
                <w:szCs w:val="29"/>
              </w:rPr>
            </w:pPr>
            <w:r>
              <w:rPr>
                <w:rFonts w:ascii="宋体" w:eastAsia="宋体" w:hAnsi="宋体" w:cs="宋体"/>
                <w:b w:val="0"/>
                <w:bCs w:val="0"/>
                <w:i w:val="0"/>
                <w:iCs w:val="0"/>
                <w:smallCaps w:val="0"/>
                <w:color w:val="000000"/>
                <w:kern w:val="0"/>
                <w:sz w:val="21"/>
                <w:szCs w:val="29"/>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30311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代缴社会保险费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30240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税金及附加费用</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39907</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国家赔偿费用支出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30399</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其他对个人和家庭的补助</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14.17</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30299</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其他商品和服务支出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0.54</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39908</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对民间非营利组织和群众性自治组织补贴</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307</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债务利息及费用支出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39909</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经常性赠与</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righ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righ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30701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国内债务付息</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39910</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资本性赠与</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righ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righ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30702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国外债务付息</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39999</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其他支出</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righ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righ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30703</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国内债务发行费用</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righ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righ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30704</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国外债务发行费用</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gridSpan w:val="2"/>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xml:space="preserve">人员经费合计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345.42</w:t>
            </w:r>
          </w:p>
        </w:tc>
        <w:tc>
          <w:tcPr>
            <w:tcW w:w="21600" w:type="dxa"/>
            <w:gridSpan w:val="5"/>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公用经费合计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27.62</w:t>
            </w:r>
          </w:p>
        </w:tc>
      </w:tr>
      <w:tr>
        <w:tblPrEx>
          <w:tblW w:w="5000" w:type="pct"/>
          <w:tblInd w:w="20" w:type="dxa"/>
          <w:tblLayout w:type="fixed"/>
          <w:tblCellMar>
            <w:top w:w="0" w:type="dxa"/>
            <w:left w:w="108" w:type="dxa"/>
            <w:bottom w:w="0" w:type="dxa"/>
            <w:right w:w="108" w:type="dxa"/>
          </w:tblCellMar>
        </w:tblPrEx>
        <w:trPr>
          <w:cantSplit/>
        </w:trPr>
        <w:tc>
          <w:tcPr>
            <w:tcW w:w="16377" w:type="dxa"/>
            <w:gridSpan w:val="9"/>
            <w:noWrap w:val="0"/>
            <w:tcMar>
              <w:top w:w="15" w:type="dxa"/>
              <w:left w:w="108" w:type="dxa"/>
              <w:bottom w:w="15" w:type="dxa"/>
              <w:right w:w="108" w:type="dxa"/>
            </w:tcMar>
            <w:vAlign w:val="center"/>
            <w:hideMark/>
          </w:tcPr>
          <w:p>
            <w:pPr>
              <w:widowControl/>
              <w:spacing w:line="375" w:lineRule="atLeast"/>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注：1.本表反映部门本年度一般公共预算财政拨款基本支出明细情况。</w:t>
            </w:r>
          </w:p>
        </w:tc>
      </w:tr>
      <w:tr>
        <w:tblPrEx>
          <w:tblW w:w="5000" w:type="pct"/>
          <w:tblInd w:w="20" w:type="dxa"/>
          <w:tblLayout w:type="fixed"/>
          <w:tblCellMar>
            <w:top w:w="0" w:type="dxa"/>
            <w:left w:w="108" w:type="dxa"/>
            <w:bottom w:w="0" w:type="dxa"/>
            <w:right w:w="108" w:type="dxa"/>
          </w:tblCellMar>
        </w:tblPrEx>
        <w:trPr>
          <w:cantSplit/>
        </w:trPr>
        <w:tc>
          <w:tcPr>
            <w:tcW w:w="16377" w:type="dxa"/>
            <w:gridSpan w:val="9"/>
            <w:noWrap w:val="0"/>
            <w:tcMar>
              <w:top w:w="15" w:type="dxa"/>
              <w:left w:w="108" w:type="dxa"/>
              <w:bottom w:w="15" w:type="dxa"/>
              <w:right w:w="108" w:type="dxa"/>
            </w:tcMar>
            <w:vAlign w:val="center"/>
            <w:hideMark/>
          </w:tcPr>
          <w:p>
            <w:pPr>
              <w:widowControl/>
              <w:spacing w:line="375" w:lineRule="atLeast"/>
              <w:jc w:val="left"/>
              <w:rPr>
                <w:rFonts w:ascii="Times New Roman" w:eastAsia="Times New Roman" w:hAnsi="Times New Roman" w:cs="Times New Roman"/>
                <w:b w:val="0"/>
                <w:bCs w:val="0"/>
                <w:i w:val="0"/>
                <w:iCs w:val="0"/>
                <w:smallCaps w:val="0"/>
                <w:color w:val="000000"/>
                <w:kern w:val="0"/>
                <w:sz w:val="26"/>
                <w:szCs w:val="26"/>
              </w:rPr>
            </w:pPr>
          </w:p>
        </w:tc>
      </w:tr>
    </w:tbl>
    <w:p>
      <w:pPr>
        <w:sectPr>
          <w:footerReference w:type="default" r:id="rId15"/>
          <w:type w:val="nextPage"/>
          <w:pgSz w:w="16383" w:h="11906" w:orient="landscape"/>
          <w:pgMar w:top="1134" w:right="720" w:bottom="1134" w:left="720" w:header="720" w:footer="720"/>
          <w:cols w:space="720"/>
        </w:sectPr>
      </w:pPr>
    </w:p>
    <w:p>
      <w:pPr>
        <w:rPr>
          <w:rFonts w:ascii="Times New Roman" w:eastAsia="Times New Roman" w:hAnsi="Times New Roman" w:cs="Times New Roman"/>
          <w:vanish/>
          <w:kern w:val="0"/>
          <w:sz w:val="24"/>
        </w:rPr>
      </w:pPr>
      <w:r>
        <w:rPr>
          <w:rFonts w:ascii="Times New Roman" w:eastAsia="Times New Roman" w:hAnsi="Times New Roman" w:cs="Times New Roman"/>
          <w:kern w:val="0"/>
          <w:sz w:val="24"/>
        </w:rPr>
        <w:t> </w:t>
      </w:r>
    </w:p>
    <w:p>
      <w:pPr>
        <w:pStyle w:val="p"/>
        <w:widowControl/>
        <w:spacing w:before="240" w:after="100"/>
        <w:ind w:left="100" w:right="100" w:firstLine="0"/>
        <w:jc w:val="left"/>
        <w:rPr>
          <w:rFonts w:ascii="Times New Roman" w:eastAsia="Times New Roman" w:hAnsi="Times New Roman" w:cs="Times New Roman"/>
          <w:kern w:val="0"/>
          <w:sz w:val="24"/>
        </w:rPr>
      </w:pPr>
      <w:r>
        <w:rPr>
          <w:rFonts w:ascii="SimSun" w:eastAsia="SimSun" w:hAnsi="SimSun" w:cs="SimSun"/>
          <w:spacing w:val="0"/>
          <w:kern w:val="0"/>
          <w:sz w:val="24"/>
        </w:rPr>
        <w:t> </w:t>
      </w:r>
    </w:p>
    <w:p>
      <w:pPr>
        <w:pStyle w:val="Heading3"/>
        <w:keepNext w:val="0"/>
        <w:keepLines w:val="0"/>
        <w:spacing w:before="100" w:after="100" w:line="240" w:lineRule="auto"/>
        <w:ind w:left="100" w:right="100" w:firstLine="640" w:firstLineChars="0"/>
        <w:rPr>
          <w:rFonts w:ascii="Times New Roman" w:eastAsia="Times New Roman" w:hAnsi="Times New Roman" w:cs="Times New Roman"/>
          <w:b/>
          <w:bCs/>
          <w:kern w:val="0"/>
          <w:sz w:val="28"/>
          <w:szCs w:val="28"/>
        </w:rPr>
      </w:pPr>
      <w:bookmarkStart w:id="13" w:name="_Toc256000065"/>
      <w:r>
        <w:rPr>
          <w:rFonts w:ascii="SimHei" w:eastAsia="SimHei" w:hAnsi="SimHei" w:cs="SimHei"/>
          <w:b w:val="0"/>
          <w:bCs w:val="0"/>
          <w:spacing w:val="0"/>
        </w:rPr>
        <w:t>七、一般公共预算财政拨款“三公”经费支出决算表</w:t>
      </w:r>
      <w:bookmarkEnd w:id="13"/>
    </w:p>
    <w:p>
      <w:pPr>
        <w:widowControl/>
        <w:spacing w:before="240" w:after="240"/>
        <w:jc w:val="left"/>
        <w:rPr>
          <w:rFonts w:ascii="Times New Roman" w:eastAsia="Times New Roman" w:hAnsi="Times New Roman" w:cs="Times New Roman"/>
          <w:vanish/>
          <w:kern w:val="0"/>
          <w:sz w:val="24"/>
        </w:rPr>
      </w:pPr>
      <w:r>
        <w:rPr>
          <w:rFonts w:ascii="Times New Roman" w:eastAsia="Times New Roman" w:hAnsi="Times New Roman" w:cs="Times New Roman"/>
          <w:vanish/>
          <w:kern w:val="0"/>
          <w:sz w:val="24"/>
        </w:rPr>
        <w:t>word horizontal layout</w:t>
      </w:r>
    </w:p>
    <w:tbl>
      <w:tblPr>
        <w:tblW w:w="5000" w:type="pct"/>
        <w:tblInd w:w="20" w:type="dxa"/>
        <w:tblLayout w:type="fixed"/>
        <w:tblCellMar>
          <w:top w:w="0" w:type="dxa"/>
          <w:left w:w="108" w:type="dxa"/>
          <w:bottom w:w="0" w:type="dxa"/>
          <w:right w:w="108" w:type="dxa"/>
        </w:tblCellMar>
      </w:tblPr>
      <w:tblGrid>
        <w:gridCol w:w="5053"/>
        <w:gridCol w:w="5053"/>
        <w:gridCol w:w="5053"/>
      </w:tblGrid>
      <w:tr>
        <w:tblPrEx>
          <w:tblW w:w="5000" w:type="pct"/>
          <w:tblInd w:w="20" w:type="dxa"/>
          <w:tblLayout w:type="fixed"/>
          <w:tblCellMar>
            <w:top w:w="0" w:type="dxa"/>
            <w:left w:w="108" w:type="dxa"/>
            <w:bottom w:w="0" w:type="dxa"/>
            <w:right w:w="108" w:type="dxa"/>
          </w:tblCellMar>
        </w:tblPrEx>
        <w:trPr>
          <w:cantSplit/>
          <w:tblHeader/>
        </w:trPr>
        <w:tc>
          <w:tcPr>
            <w:tcW w:w="16383" w:type="dxa"/>
            <w:gridSpan w:val="3"/>
            <w:noWrap w:val="0"/>
            <w:tcMar>
              <w:top w:w="15" w:type="dxa"/>
              <w:left w:w="108" w:type="dxa"/>
              <w:bottom w:w="15" w:type="dxa"/>
              <w:right w:w="108" w:type="dxa"/>
            </w:tcMar>
            <w:vAlign w:val="center"/>
            <w:hideMark/>
          </w:tcPr>
          <w:p>
            <w:pPr>
              <w:widowControl/>
              <w:jc w:val="center"/>
              <w:rPr>
                <w:rFonts w:ascii="SimHei" w:eastAsia="SimHei" w:hAnsi="SimHei" w:cs="SimHei"/>
                <w:b w:val="0"/>
                <w:bCs w:val="0"/>
                <w:i w:val="0"/>
                <w:iCs w:val="0"/>
                <w:smallCaps w:val="0"/>
                <w:color w:val="000000"/>
                <w:kern w:val="0"/>
                <w:sz w:val="36"/>
                <w:szCs w:val="36"/>
              </w:rPr>
            </w:pPr>
            <w:r>
              <w:rPr>
                <w:rFonts w:ascii="黑体" w:eastAsia="黑体" w:hAnsi="黑体" w:cs="黑体"/>
                <w:b w:val="0"/>
                <w:bCs w:val="0"/>
                <w:i w:val="0"/>
                <w:iCs w:val="0"/>
                <w:smallCaps w:val="0"/>
                <w:color w:val="000000"/>
                <w:kern w:val="0"/>
                <w:sz w:val="32"/>
                <w:szCs w:val="36"/>
              </w:rPr>
              <w:t>一般公共预算财政拨款“三公”经费支出决算表</w:t>
            </w:r>
          </w:p>
        </w:tc>
      </w:tr>
      <w:tr>
        <w:tblPrEx>
          <w:tblW w:w="5000" w:type="pct"/>
          <w:tblInd w:w="20" w:type="dxa"/>
          <w:tblLayout w:type="fixed"/>
          <w:tblCellMar>
            <w:top w:w="0" w:type="dxa"/>
            <w:left w:w="108" w:type="dxa"/>
            <w:bottom w:w="0" w:type="dxa"/>
            <w:right w:w="108" w:type="dxa"/>
          </w:tblCellMar>
        </w:tblPrEx>
        <w:trPr>
          <w:cantSplit/>
          <w:tblHeader/>
        </w:trPr>
        <w:tc>
          <w:tcPr>
            <w:tcW w:w="21600" w:type="dxa"/>
            <w:gridSpan w:val="2"/>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hideMark/>
          </w:tcPr>
          <w:p>
            <w:pPr>
              <w:widowControl/>
              <w:jc w:val="righ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公开07表</w:t>
            </w:r>
          </w:p>
        </w:tc>
      </w:tr>
      <w:tr>
        <w:tblPrEx>
          <w:tblW w:w="5000" w:type="pct"/>
          <w:tblInd w:w="20" w:type="dxa"/>
          <w:tblLayout w:type="fixed"/>
          <w:tblCellMar>
            <w:top w:w="0" w:type="dxa"/>
            <w:left w:w="108" w:type="dxa"/>
            <w:bottom w:w="0" w:type="dxa"/>
            <w:right w:w="108" w:type="dxa"/>
          </w:tblCellMar>
        </w:tblPrEx>
        <w:trPr>
          <w:cantSplit/>
          <w:tblHeader/>
        </w:trPr>
        <w:tc>
          <w:tcPr>
            <w:tcW w:w="21600" w:type="dxa"/>
            <w:gridSpan w:val="2"/>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4"/>
                <w:szCs w:val="26"/>
              </w:rPr>
              <w:t>编制单位：中共泰宁县委社会工作部汇总</w:t>
            </w:r>
          </w:p>
        </w:tc>
        <w:tc>
          <w:tcPr>
            <w:tcW w:w="21600" w:type="dxa"/>
            <w:noWrap w:val="0"/>
            <w:tcMar>
              <w:top w:w="15" w:type="dxa"/>
              <w:left w:w="108" w:type="dxa"/>
              <w:bottom w:w="15" w:type="dxa"/>
              <w:right w:w="108" w:type="dxa"/>
            </w:tcMar>
            <w:vAlign w:val="center"/>
            <w:hideMark/>
          </w:tcPr>
          <w:p>
            <w:pPr>
              <w:widowControl/>
              <w:jc w:val="righ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单位：万元</w:t>
            </w:r>
          </w:p>
        </w:tc>
      </w:tr>
      <w:tr>
        <w:tblPrEx>
          <w:tblW w:w="5000" w:type="pct"/>
          <w:tblInd w:w="20" w:type="dxa"/>
          <w:tblLayout w:type="fixed"/>
          <w:tblCellMar>
            <w:top w:w="0" w:type="dxa"/>
            <w:left w:w="108" w:type="dxa"/>
            <w:bottom w:w="0" w:type="dxa"/>
            <w:right w:w="108" w:type="dxa"/>
          </w:tblCellMar>
        </w:tblPrEx>
        <w:trPr>
          <w:cantSplit/>
          <w:tblHeader/>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项目</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行次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决算数</w:t>
            </w:r>
          </w:p>
        </w:tc>
      </w:tr>
      <w:tr>
        <w:tblPrEx>
          <w:tblW w:w="5000" w:type="pct"/>
          <w:tblInd w:w="20" w:type="dxa"/>
          <w:tblLayout w:type="fixed"/>
          <w:tblCellMar>
            <w:top w:w="0" w:type="dxa"/>
            <w:left w:w="108" w:type="dxa"/>
            <w:bottom w:w="0" w:type="dxa"/>
            <w:right w:w="108" w:type="dxa"/>
          </w:tblCellMar>
        </w:tblPrEx>
        <w:trPr>
          <w:cantSplit/>
          <w:tblHeader/>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合计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0.00</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 因公出国（境）费用</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0.00</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 公务用车购置及运行维护费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0.00</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其中：（1）公务用车购置费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4</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0.00</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（2）公务用车运行维护费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5</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0.00</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 公务接待费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6</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0.00</w:t>
            </w:r>
          </w:p>
        </w:tc>
      </w:tr>
      <w:tr>
        <w:tblPrEx>
          <w:tblW w:w="5000" w:type="pct"/>
          <w:tblInd w:w="20" w:type="dxa"/>
          <w:tblLayout w:type="fixed"/>
          <w:tblCellMar>
            <w:top w:w="0" w:type="dxa"/>
            <w:left w:w="108" w:type="dxa"/>
            <w:bottom w:w="0" w:type="dxa"/>
            <w:right w:w="108" w:type="dxa"/>
          </w:tblCellMar>
        </w:tblPrEx>
        <w:trPr>
          <w:cantSplit/>
        </w:trPr>
        <w:tc>
          <w:tcPr>
            <w:tcW w:w="16383" w:type="dxa"/>
            <w:gridSpan w:val="3"/>
            <w:noWrap w:val="0"/>
            <w:tcMar>
              <w:top w:w="15" w:type="dxa"/>
              <w:left w:w="108" w:type="dxa"/>
              <w:bottom w:w="15" w:type="dxa"/>
              <w:right w:w="108" w:type="dxa"/>
            </w:tcMar>
            <w:vAlign w:val="center"/>
            <w:hideMark/>
          </w:tcPr>
          <w:p>
            <w:pPr>
              <w:widowControl/>
              <w:spacing w:line="375" w:lineRule="atLeast"/>
              <w:jc w:val="left"/>
              <w:rPr>
                <w:rFonts w:ascii="Times New Roman" w:eastAsia="Times New Roman" w:hAnsi="Times New Roman" w:cs="Times New Roman"/>
                <w:b w:val="0"/>
                <w:bCs w:val="0"/>
                <w:i w:val="0"/>
                <w:iCs w:val="0"/>
                <w:smallCaps w:val="0"/>
                <w:color w:val="000000"/>
                <w:kern w:val="0"/>
                <w:sz w:val="26"/>
                <w:szCs w:val="26"/>
              </w:rPr>
            </w:pPr>
          </w:p>
        </w:tc>
      </w:tr>
      <w:tr>
        <w:tblPrEx>
          <w:tblW w:w="5000" w:type="pct"/>
          <w:tblInd w:w="20" w:type="dxa"/>
          <w:tblLayout w:type="fixed"/>
          <w:tblCellMar>
            <w:top w:w="0" w:type="dxa"/>
            <w:left w:w="108" w:type="dxa"/>
            <w:bottom w:w="0" w:type="dxa"/>
            <w:right w:w="108" w:type="dxa"/>
          </w:tblCellMar>
        </w:tblPrEx>
        <w:trPr>
          <w:cantSplit/>
        </w:trPr>
        <w:tc>
          <w:tcPr>
            <w:tcW w:w="16383" w:type="dxa"/>
            <w:gridSpan w:val="3"/>
            <w:noWrap w:val="0"/>
            <w:tcMar>
              <w:top w:w="15" w:type="dxa"/>
              <w:left w:w="108" w:type="dxa"/>
              <w:bottom w:w="15" w:type="dxa"/>
              <w:right w:w="108" w:type="dxa"/>
            </w:tcMar>
            <w:vAlign w:val="center"/>
            <w:hideMark/>
          </w:tcPr>
          <w:p>
            <w:pPr>
              <w:widowControl/>
              <w:spacing w:line="375" w:lineRule="atLeast"/>
              <w:jc w:val="left"/>
              <w:rPr>
                <w:rFonts w:ascii="Times New Roman" w:eastAsia="Times New Roman" w:hAnsi="Times New Roman" w:cs="Times New Roman"/>
                <w:b w:val="0"/>
                <w:bCs w:val="0"/>
                <w:i w:val="0"/>
                <w:iCs w:val="0"/>
                <w:smallCaps w:val="0"/>
                <w:color w:val="000000"/>
                <w:kern w:val="0"/>
                <w:sz w:val="26"/>
                <w:szCs w:val="26"/>
              </w:rPr>
            </w:pPr>
          </w:p>
        </w:tc>
      </w:tr>
      <w:tr>
        <w:tblPrEx>
          <w:tblW w:w="5000" w:type="pct"/>
          <w:tblInd w:w="20" w:type="dxa"/>
          <w:tblLayout w:type="fixed"/>
          <w:tblCellMar>
            <w:top w:w="0" w:type="dxa"/>
            <w:left w:w="108" w:type="dxa"/>
            <w:bottom w:w="0" w:type="dxa"/>
            <w:right w:w="108" w:type="dxa"/>
          </w:tblCellMar>
        </w:tblPrEx>
        <w:trPr>
          <w:cantSplit/>
        </w:trPr>
        <w:tc>
          <w:tcPr>
            <w:tcW w:w="16383" w:type="dxa"/>
            <w:gridSpan w:val="3"/>
            <w:noWrap w:val="0"/>
            <w:tcMar>
              <w:top w:w="15" w:type="dxa"/>
              <w:left w:w="108" w:type="dxa"/>
              <w:bottom w:w="15" w:type="dxa"/>
              <w:right w:w="108" w:type="dxa"/>
            </w:tcMar>
            <w:vAlign w:val="center"/>
            <w:hideMark/>
          </w:tcPr>
          <w:p>
            <w:pPr>
              <w:widowControl/>
              <w:spacing w:line="375" w:lineRule="atLeast"/>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注：本部门2025年度没有使用一般公共预算财政拨款安排的“三公”经费支出。</w:t>
            </w:r>
          </w:p>
        </w:tc>
      </w:tr>
    </w:tbl>
    <w:p>
      <w:pPr>
        <w:sectPr>
          <w:footerReference w:type="default" r:id="rId16"/>
          <w:type w:val="nextPage"/>
          <w:pgSz w:w="16383" w:h="11906" w:orient="landscape"/>
          <w:pgMar w:top="1134" w:right="720" w:bottom="1134" w:left="720" w:header="720" w:footer="720"/>
          <w:cols w:space="720"/>
        </w:sectPr>
      </w:pPr>
    </w:p>
    <w:p>
      <w:pPr>
        <w:widowControl/>
        <w:jc w:val="left"/>
        <w:rPr>
          <w:rFonts w:ascii="Times New Roman" w:eastAsia="Times New Roman" w:hAnsi="Times New Roman" w:cs="Times New Roman"/>
          <w:kern w:val="0"/>
          <w:sz w:val="24"/>
        </w:rPr>
      </w:pPr>
      <w:r>
        <w:rPr>
          <w:rFonts w:ascii="Times New Roman" w:eastAsia="Times New Roman" w:hAnsi="Times New Roman" w:cs="Times New Roman"/>
          <w:kern w:val="0"/>
          <w:sz w:val="24"/>
        </w:rPr>
        <w:t> </w:t>
      </w:r>
    </w:p>
    <w:p>
      <w:pPr>
        <w:pStyle w:val="MsoNormal"/>
        <w:widowControl/>
        <w:spacing w:before="240" w:after="100"/>
        <w:ind w:left="100" w:right="100" w:firstLine="0"/>
        <w:jc w:val="left"/>
        <w:rPr>
          <w:rFonts w:ascii="Times New Roman" w:eastAsia="Times New Roman" w:hAnsi="Times New Roman" w:cs="Times New Roman"/>
          <w:kern w:val="0"/>
          <w:sz w:val="24"/>
        </w:rPr>
      </w:pPr>
      <w:r>
        <w:rPr>
          <w:rFonts w:ascii="SimSun" w:eastAsia="SimSun" w:hAnsi="SimSun" w:cs="SimSun"/>
          <w:kern w:val="0"/>
          <w:sz w:val="24"/>
        </w:rPr>
        <w:t> </w:t>
      </w:r>
    </w:p>
    <w:p>
      <w:pPr>
        <w:pStyle w:val="Heading3"/>
        <w:keepNext w:val="0"/>
        <w:keepLines w:val="0"/>
        <w:spacing w:before="100" w:after="100" w:line="240" w:lineRule="auto"/>
        <w:ind w:left="100" w:right="100" w:firstLine="640" w:firstLineChars="0"/>
        <w:rPr>
          <w:rFonts w:ascii="Times New Roman" w:eastAsia="Times New Roman" w:hAnsi="Times New Roman" w:cs="Times New Roman"/>
          <w:b/>
          <w:bCs/>
          <w:kern w:val="0"/>
          <w:sz w:val="28"/>
          <w:szCs w:val="28"/>
        </w:rPr>
      </w:pPr>
      <w:bookmarkStart w:id="14" w:name="_Toc256000066"/>
      <w:r>
        <w:rPr>
          <w:rFonts w:ascii="SimHei" w:eastAsia="SimHei" w:hAnsi="SimHei" w:cs="SimHei"/>
          <w:b w:val="0"/>
          <w:bCs w:val="0"/>
          <w:spacing w:val="0"/>
        </w:rPr>
        <w:t>八、政府性基金预算财政拨款收入支出决算表</w:t>
      </w:r>
      <w:bookmarkEnd w:id="14"/>
    </w:p>
    <w:p>
      <w:pPr>
        <w:widowControl/>
        <w:spacing w:before="240" w:after="240"/>
        <w:jc w:val="left"/>
        <w:rPr>
          <w:rFonts w:ascii="Times New Roman" w:eastAsia="Times New Roman" w:hAnsi="Times New Roman" w:cs="Times New Roman"/>
          <w:vanish/>
          <w:kern w:val="0"/>
          <w:sz w:val="24"/>
        </w:rPr>
      </w:pPr>
      <w:r>
        <w:rPr>
          <w:rFonts w:ascii="Times New Roman" w:eastAsia="Times New Roman" w:hAnsi="Times New Roman" w:cs="Times New Roman"/>
          <w:vanish/>
          <w:kern w:val="0"/>
          <w:sz w:val="24"/>
        </w:rPr>
        <w:t>word horizontal layout gk08</w:t>
      </w:r>
    </w:p>
    <w:tbl>
      <w:tblPr>
        <w:tblW w:w="5000" w:type="pct"/>
        <w:tblInd w:w="20" w:type="dxa"/>
        <w:tblLayout w:type="fixed"/>
        <w:tblCellMar>
          <w:top w:w="0" w:type="dxa"/>
          <w:left w:w="108" w:type="dxa"/>
          <w:bottom w:w="0" w:type="dxa"/>
          <w:right w:w="108" w:type="dxa"/>
        </w:tblCellMar>
      </w:tblPr>
      <w:tblGrid>
        <w:gridCol w:w="629"/>
        <w:gridCol w:w="629"/>
        <w:gridCol w:w="629"/>
        <w:gridCol w:w="1896"/>
        <w:gridCol w:w="1896"/>
        <w:gridCol w:w="1896"/>
        <w:gridCol w:w="1896"/>
        <w:gridCol w:w="1896"/>
        <w:gridCol w:w="1896"/>
        <w:gridCol w:w="1896"/>
      </w:tblGrid>
      <w:tr>
        <w:tblPrEx>
          <w:tblW w:w="5000" w:type="pct"/>
          <w:tblInd w:w="20" w:type="dxa"/>
          <w:tblLayout w:type="fixed"/>
          <w:tblCellMar>
            <w:top w:w="0" w:type="dxa"/>
            <w:left w:w="108" w:type="dxa"/>
            <w:bottom w:w="0" w:type="dxa"/>
            <w:right w:w="108" w:type="dxa"/>
          </w:tblCellMar>
        </w:tblPrEx>
        <w:trPr>
          <w:cantSplit/>
          <w:tblHeader/>
        </w:trPr>
        <w:tc>
          <w:tcPr>
            <w:tcW w:w="14400" w:type="dxa"/>
            <w:gridSpan w:val="10"/>
            <w:noWrap w:val="0"/>
            <w:tcMar>
              <w:top w:w="15" w:type="dxa"/>
              <w:left w:w="108" w:type="dxa"/>
              <w:bottom w:w="15" w:type="dxa"/>
              <w:right w:w="108" w:type="dxa"/>
            </w:tcMar>
            <w:vAlign w:val="center"/>
            <w:hideMark/>
          </w:tcPr>
          <w:p>
            <w:pPr>
              <w:widowControl/>
              <w:jc w:val="center"/>
              <w:rPr>
                <w:rFonts w:ascii="SimHei" w:eastAsia="SimHei" w:hAnsi="SimHei" w:cs="SimHei"/>
                <w:b w:val="0"/>
                <w:bCs w:val="0"/>
                <w:i w:val="0"/>
                <w:iCs w:val="0"/>
                <w:smallCaps w:val="0"/>
                <w:color w:val="000000"/>
                <w:kern w:val="0"/>
                <w:sz w:val="36"/>
                <w:szCs w:val="36"/>
              </w:rPr>
            </w:pPr>
            <w:r>
              <w:rPr>
                <w:rFonts w:ascii="黑体" w:eastAsia="黑体" w:hAnsi="黑体" w:cs="黑体"/>
                <w:b w:val="0"/>
                <w:bCs w:val="0"/>
                <w:i w:val="0"/>
                <w:iCs w:val="0"/>
                <w:smallCaps w:val="0"/>
                <w:color w:val="000000"/>
                <w:kern w:val="0"/>
                <w:sz w:val="32"/>
                <w:szCs w:val="36"/>
              </w:rPr>
              <w:t>政府性基金预算财政拨款收入支出决算表</w:t>
            </w:r>
          </w:p>
        </w:tc>
      </w:tr>
      <w:tr>
        <w:tblPrEx>
          <w:tblW w:w="5000" w:type="pct"/>
          <w:tblInd w:w="20" w:type="dxa"/>
          <w:tblLayout w:type="fixed"/>
          <w:tblCellMar>
            <w:top w:w="0" w:type="dxa"/>
            <w:left w:w="108" w:type="dxa"/>
            <w:bottom w:w="0" w:type="dxa"/>
            <w:right w:w="108" w:type="dxa"/>
          </w:tblCellMar>
        </w:tblPrEx>
        <w:trPr>
          <w:cantSplit/>
          <w:tblHeader/>
        </w:trPr>
        <w:tc>
          <w:tcPr>
            <w:tcW w:w="5290" w:type="dxa"/>
            <w:gridSpan w:val="2"/>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529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hideMark/>
          </w:tcPr>
          <w:p>
            <w:pPr>
              <w:widowControl/>
              <w:jc w:val="righ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公开08表</w:t>
            </w:r>
          </w:p>
        </w:tc>
      </w:tr>
      <w:tr>
        <w:tblPrEx>
          <w:tblW w:w="5000" w:type="pct"/>
          <w:tblInd w:w="20" w:type="dxa"/>
          <w:tblLayout w:type="fixed"/>
          <w:tblCellMar>
            <w:top w:w="0" w:type="dxa"/>
            <w:left w:w="108" w:type="dxa"/>
            <w:bottom w:w="0" w:type="dxa"/>
            <w:right w:w="108" w:type="dxa"/>
          </w:tblCellMar>
        </w:tblPrEx>
        <w:trPr>
          <w:cantSplit/>
          <w:tblHeader/>
        </w:trPr>
        <w:tc>
          <w:tcPr>
            <w:tcW w:w="5290" w:type="dxa"/>
            <w:gridSpan w:val="7"/>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4"/>
                <w:szCs w:val="26"/>
              </w:rPr>
              <w:t>编制单位：中共泰宁县委社会工作部汇总</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hideMark/>
          </w:tcPr>
          <w:p>
            <w:pPr>
              <w:widowControl/>
              <w:jc w:val="righ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单位：万元</w:t>
            </w:r>
          </w:p>
        </w:tc>
      </w:tr>
      <w:tr>
        <w:tblPrEx>
          <w:tblW w:w="5000" w:type="pct"/>
          <w:tblInd w:w="20" w:type="dxa"/>
          <w:tblLayout w:type="fixed"/>
          <w:tblCellMar>
            <w:top w:w="0" w:type="dxa"/>
            <w:left w:w="108" w:type="dxa"/>
            <w:bottom w:w="0" w:type="dxa"/>
            <w:right w:w="108" w:type="dxa"/>
          </w:tblCellMar>
        </w:tblPrEx>
        <w:trPr>
          <w:cantSplit/>
          <w:tblHeader/>
        </w:trPr>
        <w:tc>
          <w:tcPr>
            <w:tcW w:w="5295" w:type="dxa"/>
            <w:gridSpan w:val="4"/>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项目</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xml:space="preserve">年初结转和结余 </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本年收入</w:t>
            </w:r>
          </w:p>
        </w:tc>
        <w:tc>
          <w:tcPr>
            <w:tcW w:w="21600" w:type="dxa"/>
            <w:gridSpan w:val="3"/>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本年支出</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年末结转和结余</w:t>
            </w:r>
          </w:p>
        </w:tc>
      </w:tr>
      <w:tr>
        <w:tblPrEx>
          <w:tblW w:w="5000" w:type="pct"/>
          <w:tblInd w:w="20" w:type="dxa"/>
          <w:tblLayout w:type="fixed"/>
          <w:tblCellMar>
            <w:top w:w="0" w:type="dxa"/>
            <w:left w:w="108" w:type="dxa"/>
            <w:bottom w:w="0" w:type="dxa"/>
            <w:right w:w="108" w:type="dxa"/>
          </w:tblCellMar>
        </w:tblPrEx>
        <w:trPr>
          <w:cantSplit/>
          <w:tblHeader/>
        </w:trPr>
        <w:tc>
          <w:tcPr>
            <w:tcW w:w="5295" w:type="dxa"/>
            <w:gridSpan w:val="3"/>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支出功能分类科目编码</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科目名称</w:t>
            </w:r>
          </w:p>
        </w:tc>
        <w:tc>
          <w:tcPr>
            <w:tcW w:w="2159" w:type="dxa"/>
            <w:vMerge/>
            <w:tcBorders>
              <w:left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496" w:type="dxa"/>
            <w:vMerge/>
            <w:tcBorders>
              <w:left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小计</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xml:space="preserve">基本支出 </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项目支出</w:t>
            </w:r>
          </w:p>
        </w:tc>
        <w:tc>
          <w:tcPr>
            <w:tcW w:w="2161" w:type="dxa"/>
            <w:vMerge/>
            <w:tcBorders>
              <w:left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r>
      <w:tr>
        <w:tblPrEx>
          <w:tblW w:w="5000" w:type="pct"/>
          <w:tblInd w:w="20" w:type="dxa"/>
          <w:tblLayout w:type="fixed"/>
          <w:tblCellMar>
            <w:top w:w="0" w:type="dxa"/>
            <w:left w:w="108" w:type="dxa"/>
            <w:bottom w:w="0" w:type="dxa"/>
            <w:right w:w="108" w:type="dxa"/>
          </w:tblCellMar>
        </w:tblPrEx>
        <w:trPr>
          <w:cantSplit/>
          <w:tblHeader/>
        </w:trPr>
        <w:tc>
          <w:tcPr>
            <w:tcW w:w="2271" w:type="dxa"/>
            <w:gridSpan w:val="3"/>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2266"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2159"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496"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055"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496"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1496"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2161"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r>
      <w:tr>
        <w:tblPrEx>
          <w:tblW w:w="5000" w:type="pct"/>
          <w:tblInd w:w="20" w:type="dxa"/>
          <w:tblLayout w:type="fixed"/>
          <w:tblCellMar>
            <w:top w:w="0" w:type="dxa"/>
            <w:left w:w="108" w:type="dxa"/>
            <w:bottom w:w="0" w:type="dxa"/>
            <w:right w:w="108" w:type="dxa"/>
          </w:tblCellMar>
        </w:tblPrEx>
        <w:trPr>
          <w:cantSplit/>
          <w:tblHeader/>
        </w:trPr>
        <w:tc>
          <w:tcPr>
            <w:tcW w:w="5295"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类</w:t>
            </w:r>
          </w:p>
        </w:tc>
        <w:tc>
          <w:tcPr>
            <w:tcW w:w="5295"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款</w:t>
            </w:r>
          </w:p>
        </w:tc>
        <w:tc>
          <w:tcPr>
            <w:tcW w:w="5295"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项</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栏次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4</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5</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6</w:t>
            </w:r>
          </w:p>
        </w:tc>
      </w:tr>
      <w:tr>
        <w:tblPrEx>
          <w:tblW w:w="5000" w:type="pct"/>
          <w:tblInd w:w="20" w:type="dxa"/>
          <w:tblLayout w:type="fixed"/>
          <w:tblCellMar>
            <w:top w:w="0" w:type="dxa"/>
            <w:left w:w="108" w:type="dxa"/>
            <w:bottom w:w="0" w:type="dxa"/>
            <w:right w:w="108" w:type="dxa"/>
          </w:tblCellMar>
        </w:tblPrEx>
        <w:trPr>
          <w:cantSplit/>
        </w:trPr>
        <w:tc>
          <w:tcPr>
            <w:tcW w:w="757"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757"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757"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合计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5295" w:type="dxa"/>
            <w:gridSpan w:val="3"/>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14400" w:type="dxa"/>
            <w:gridSpan w:val="10"/>
            <w:noWrap w:val="0"/>
            <w:tcMar>
              <w:top w:w="15" w:type="dxa"/>
              <w:left w:w="108" w:type="dxa"/>
              <w:bottom w:w="15" w:type="dxa"/>
              <w:right w:w="108" w:type="dxa"/>
            </w:tcMar>
            <w:vAlign w:val="center"/>
            <w:hideMark/>
          </w:tcPr>
          <w:p>
            <w:pPr>
              <w:widowControl/>
              <w:spacing w:line="375" w:lineRule="atLeast"/>
              <w:jc w:val="left"/>
              <w:rPr>
                <w:rFonts w:ascii="Times New Roman" w:eastAsia="Times New Roman" w:hAnsi="Times New Roman" w:cs="Times New Roman"/>
                <w:b w:val="0"/>
                <w:bCs w:val="0"/>
                <w:i w:val="0"/>
                <w:iCs w:val="0"/>
                <w:smallCaps w:val="0"/>
                <w:color w:val="000000"/>
                <w:kern w:val="0"/>
                <w:sz w:val="26"/>
                <w:szCs w:val="26"/>
              </w:rPr>
            </w:pPr>
          </w:p>
        </w:tc>
      </w:tr>
      <w:tr>
        <w:tblPrEx>
          <w:tblW w:w="5000" w:type="pct"/>
          <w:tblInd w:w="20" w:type="dxa"/>
          <w:tblLayout w:type="fixed"/>
          <w:tblCellMar>
            <w:top w:w="0" w:type="dxa"/>
            <w:left w:w="108" w:type="dxa"/>
            <w:bottom w:w="0" w:type="dxa"/>
            <w:right w:w="108" w:type="dxa"/>
          </w:tblCellMar>
        </w:tblPrEx>
        <w:trPr>
          <w:cantSplit/>
        </w:trPr>
        <w:tc>
          <w:tcPr>
            <w:tcW w:w="14400" w:type="dxa"/>
            <w:gridSpan w:val="10"/>
            <w:noWrap w:val="0"/>
            <w:tcMar>
              <w:top w:w="15" w:type="dxa"/>
              <w:left w:w="108" w:type="dxa"/>
              <w:bottom w:w="15" w:type="dxa"/>
              <w:right w:w="108" w:type="dxa"/>
            </w:tcMar>
            <w:vAlign w:val="center"/>
            <w:hideMark/>
          </w:tcPr>
          <w:p>
            <w:pPr>
              <w:widowControl/>
              <w:spacing w:line="375" w:lineRule="atLeast"/>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注：本部门2025年度没有使用政府性基金预算财政拨款安排的收支。</w:t>
            </w:r>
          </w:p>
        </w:tc>
      </w:tr>
    </w:tbl>
    <w:p>
      <w:pPr>
        <w:sectPr>
          <w:footerReference w:type="default" r:id="rId17"/>
          <w:type w:val="nextPage"/>
          <w:pgSz w:w="16383" w:h="11906" w:orient="landscape"/>
          <w:pgMar w:top="1134" w:right="720" w:bottom="1134" w:left="720" w:header="720" w:footer="720"/>
          <w:cols w:space="720"/>
        </w:sectPr>
      </w:pPr>
    </w:p>
    <w:p>
      <w:pPr>
        <w:widowControl/>
        <w:jc w:val="left"/>
        <w:rPr>
          <w:rFonts w:ascii="Times New Roman" w:eastAsia="Times New Roman" w:hAnsi="Times New Roman" w:cs="Times New Roman"/>
          <w:kern w:val="0"/>
          <w:sz w:val="24"/>
        </w:rPr>
      </w:pPr>
      <w:r>
        <w:rPr>
          <w:rFonts w:ascii="Times New Roman" w:eastAsia="Times New Roman" w:hAnsi="Times New Roman" w:cs="Times New Roman"/>
          <w:kern w:val="0"/>
          <w:sz w:val="24"/>
        </w:rPr>
        <w:t> </w:t>
      </w:r>
    </w:p>
    <w:p>
      <w:pPr>
        <w:pStyle w:val="MsoNormal"/>
        <w:widowControl/>
        <w:spacing w:before="240" w:after="240"/>
        <w:jc w:val="left"/>
        <w:rPr>
          <w:rFonts w:ascii="Times New Roman" w:eastAsia="Times New Roman" w:hAnsi="Times New Roman" w:cs="Times New Roman"/>
          <w:kern w:val="0"/>
          <w:sz w:val="24"/>
        </w:rPr>
      </w:pPr>
      <w:r>
        <w:rPr>
          <w:rFonts w:ascii="SimSun" w:eastAsia="SimSun" w:hAnsi="SimSun" w:cs="SimSun"/>
          <w:spacing w:val="0"/>
          <w:kern w:val="0"/>
          <w:sz w:val="24"/>
        </w:rPr>
        <w:t> </w:t>
      </w:r>
      <w:r>
        <w:rPr>
          <w:rFonts w:ascii="SimSun" w:eastAsia="SimSun" w:hAnsi="SimSun" w:cs="SimSun"/>
          <w:kern w:val="0"/>
          <w:sz w:val="24"/>
        </w:rPr>
        <w:t> </w:t>
      </w:r>
      <w:r>
        <w:rPr>
          <w:rFonts w:ascii="SimSun" w:eastAsia="SimSun" w:hAnsi="SimSun" w:cs="SimSun"/>
          <w:kern w:val="0"/>
          <w:sz w:val="24"/>
        </w:rPr>
        <w:t> </w:t>
      </w:r>
    </w:p>
    <w:p>
      <w:pPr>
        <w:pStyle w:val="Heading3"/>
        <w:keepNext w:val="0"/>
        <w:keepLines w:val="0"/>
        <w:spacing w:before="100" w:after="100" w:line="240" w:lineRule="auto"/>
        <w:ind w:left="100" w:right="100" w:firstLine="640" w:firstLineChars="0"/>
        <w:rPr>
          <w:rFonts w:ascii="Times New Roman" w:eastAsia="Times New Roman" w:hAnsi="Times New Roman" w:cs="Times New Roman"/>
          <w:b/>
          <w:bCs/>
          <w:kern w:val="0"/>
          <w:sz w:val="28"/>
          <w:szCs w:val="28"/>
        </w:rPr>
      </w:pPr>
      <w:bookmarkStart w:id="15" w:name="_Toc256000067"/>
      <w:r>
        <w:rPr>
          <w:rFonts w:ascii="SimHei" w:eastAsia="SimHei" w:hAnsi="SimHei" w:cs="SimHei"/>
          <w:b w:val="0"/>
          <w:bCs w:val="0"/>
          <w:spacing w:val="0"/>
        </w:rPr>
        <w:t>九、国有资本经营预算财政拨款支出决算表</w:t>
      </w:r>
      <w:bookmarkEnd w:id="15"/>
    </w:p>
    <w:p>
      <w:pPr>
        <w:widowControl/>
        <w:spacing w:before="240" w:after="240"/>
        <w:jc w:val="left"/>
        <w:rPr>
          <w:rFonts w:ascii="Times New Roman" w:eastAsia="Times New Roman" w:hAnsi="Times New Roman" w:cs="Times New Roman"/>
          <w:vanish/>
          <w:kern w:val="0"/>
          <w:sz w:val="24"/>
        </w:rPr>
      </w:pPr>
      <w:r>
        <w:rPr>
          <w:rFonts w:ascii="Times New Roman" w:eastAsia="Times New Roman" w:hAnsi="Times New Roman" w:cs="Times New Roman"/>
          <w:vanish/>
          <w:kern w:val="0"/>
          <w:sz w:val="24"/>
        </w:rPr>
        <w:t>word horizontal layout gk09</w:t>
      </w:r>
    </w:p>
    <w:tbl>
      <w:tblPr>
        <w:tblW w:w="5000" w:type="pct"/>
        <w:tblInd w:w="20" w:type="dxa"/>
        <w:tblLayout w:type="fixed"/>
        <w:tblCellMar>
          <w:top w:w="0" w:type="dxa"/>
          <w:left w:w="108" w:type="dxa"/>
          <w:bottom w:w="0" w:type="dxa"/>
          <w:right w:w="108" w:type="dxa"/>
        </w:tblCellMar>
      </w:tblPr>
      <w:tblGrid>
        <w:gridCol w:w="3031"/>
        <w:gridCol w:w="3032"/>
        <w:gridCol w:w="3032"/>
        <w:gridCol w:w="3032"/>
        <w:gridCol w:w="3032"/>
      </w:tblGrid>
      <w:tr>
        <w:tblPrEx>
          <w:tblW w:w="5000" w:type="pct"/>
          <w:tblInd w:w="20" w:type="dxa"/>
          <w:tblLayout w:type="fixed"/>
          <w:tblCellMar>
            <w:top w:w="0" w:type="dxa"/>
            <w:left w:w="108" w:type="dxa"/>
            <w:bottom w:w="0" w:type="dxa"/>
            <w:right w:w="108" w:type="dxa"/>
          </w:tblCellMar>
        </w:tblPrEx>
        <w:trPr>
          <w:cantSplit/>
          <w:tblHeader/>
        </w:trPr>
        <w:tc>
          <w:tcPr>
            <w:tcW w:w="16380" w:type="dxa"/>
            <w:gridSpan w:val="5"/>
            <w:noWrap w:val="0"/>
            <w:tcMar>
              <w:top w:w="15" w:type="dxa"/>
              <w:left w:w="108" w:type="dxa"/>
              <w:bottom w:w="15" w:type="dxa"/>
              <w:right w:w="108" w:type="dxa"/>
            </w:tcMar>
            <w:vAlign w:val="center"/>
            <w:hideMark/>
          </w:tcPr>
          <w:p>
            <w:pPr>
              <w:widowControl/>
              <w:jc w:val="center"/>
              <w:rPr>
                <w:rFonts w:ascii="SimHei" w:eastAsia="SimHei" w:hAnsi="SimHei" w:cs="SimHei"/>
                <w:b w:val="0"/>
                <w:bCs w:val="0"/>
                <w:i w:val="0"/>
                <w:iCs w:val="0"/>
                <w:smallCaps w:val="0"/>
                <w:color w:val="000000"/>
                <w:kern w:val="0"/>
                <w:sz w:val="36"/>
                <w:szCs w:val="36"/>
              </w:rPr>
            </w:pPr>
            <w:r>
              <w:rPr>
                <w:rFonts w:ascii="黑体" w:eastAsia="黑体" w:hAnsi="黑体" w:cs="黑体"/>
                <w:b w:val="0"/>
                <w:bCs w:val="0"/>
                <w:i w:val="0"/>
                <w:iCs w:val="0"/>
                <w:smallCaps w:val="0"/>
                <w:color w:val="000000"/>
                <w:kern w:val="0"/>
                <w:sz w:val="32"/>
                <w:szCs w:val="36"/>
              </w:rPr>
              <w:t>国有资本经营预算财政拨款支出决算表</w:t>
            </w:r>
          </w:p>
        </w:tc>
      </w:tr>
      <w:tr>
        <w:tblPrEx>
          <w:tblW w:w="5000" w:type="pct"/>
          <w:tblInd w:w="20" w:type="dxa"/>
          <w:tblLayout w:type="fixed"/>
          <w:tblCellMar>
            <w:top w:w="0" w:type="dxa"/>
            <w:left w:w="108" w:type="dxa"/>
            <w:bottom w:w="0" w:type="dxa"/>
            <w:right w:w="108" w:type="dxa"/>
          </w:tblCellMar>
        </w:tblPrEx>
        <w:trPr>
          <w:cantSplit/>
          <w:tblHeader/>
        </w:trPr>
        <w:tc>
          <w:tcPr>
            <w:tcW w:w="21600" w:type="dxa"/>
            <w:gridSpan w:val="2"/>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Times New Roman" w:eastAsia="Times New Roman" w:hAnsi="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hideMark/>
          </w:tcPr>
          <w:p>
            <w:pPr>
              <w:widowControl/>
              <w:jc w:val="righ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公开09表</w:t>
            </w:r>
          </w:p>
        </w:tc>
      </w:tr>
      <w:tr>
        <w:tblPrEx>
          <w:tblW w:w="5000" w:type="pct"/>
          <w:tblInd w:w="20" w:type="dxa"/>
          <w:tblLayout w:type="fixed"/>
          <w:tblCellMar>
            <w:top w:w="0" w:type="dxa"/>
            <w:left w:w="108" w:type="dxa"/>
            <w:bottom w:w="0" w:type="dxa"/>
            <w:right w:w="108" w:type="dxa"/>
          </w:tblCellMar>
        </w:tblPrEx>
        <w:trPr>
          <w:cantSplit/>
          <w:tblHeader/>
        </w:trPr>
        <w:tc>
          <w:tcPr>
            <w:tcW w:w="21600" w:type="dxa"/>
            <w:gridSpan w:val="4"/>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4"/>
                <w:szCs w:val="26"/>
              </w:rPr>
              <w:t>编制单位：中共泰宁县委社会工作部汇总</w:t>
            </w:r>
          </w:p>
        </w:tc>
        <w:tc>
          <w:tcPr>
            <w:tcW w:w="21600" w:type="dxa"/>
            <w:noWrap w:val="0"/>
            <w:tcMar>
              <w:top w:w="15" w:type="dxa"/>
              <w:left w:w="108" w:type="dxa"/>
              <w:bottom w:w="15" w:type="dxa"/>
              <w:right w:w="108" w:type="dxa"/>
            </w:tcMar>
            <w:vAlign w:val="center"/>
            <w:hideMark/>
          </w:tcPr>
          <w:p>
            <w:pPr>
              <w:widowControl/>
              <w:jc w:val="righ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单位：万元</w:t>
            </w:r>
          </w:p>
        </w:tc>
      </w:tr>
      <w:tr>
        <w:tblPrEx>
          <w:tblW w:w="5000" w:type="pct"/>
          <w:tblInd w:w="20" w:type="dxa"/>
          <w:tblLayout w:type="fixed"/>
          <w:tblCellMar>
            <w:top w:w="0" w:type="dxa"/>
            <w:left w:w="108" w:type="dxa"/>
            <w:bottom w:w="0" w:type="dxa"/>
            <w:right w:w="108" w:type="dxa"/>
          </w:tblCellMar>
        </w:tblPrEx>
        <w:trPr>
          <w:cantSplit/>
          <w:tblHeader/>
        </w:trPr>
        <w:tc>
          <w:tcPr>
            <w:tcW w:w="21600" w:type="dxa"/>
            <w:gridSpan w:val="2"/>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项 目</w:t>
            </w:r>
          </w:p>
        </w:tc>
        <w:tc>
          <w:tcPr>
            <w:tcW w:w="21600" w:type="dxa"/>
            <w:gridSpan w:val="3"/>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本年支出</w:t>
            </w:r>
          </w:p>
        </w:tc>
      </w:tr>
      <w:tr>
        <w:tblPrEx>
          <w:tblW w:w="5000" w:type="pct"/>
          <w:tblInd w:w="20" w:type="dxa"/>
          <w:tblLayout w:type="fixed"/>
          <w:tblCellMar>
            <w:top w:w="0" w:type="dxa"/>
            <w:left w:w="108" w:type="dxa"/>
            <w:bottom w:w="0" w:type="dxa"/>
            <w:right w:w="108" w:type="dxa"/>
          </w:tblCellMar>
        </w:tblPrEx>
        <w:trPr>
          <w:cantSplit/>
          <w:tblHeader/>
        </w:trPr>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功能分类科目编码</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科目名称</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合计</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基本支出</w:t>
            </w:r>
          </w:p>
        </w:tc>
        <w:tc>
          <w:tcPr>
            <w:tcW w:w="21600" w:type="dxa"/>
            <w:vMerge w:val="restart"/>
            <w:tcBorders>
              <w:top w:val="single" w:sz="6" w:space="0" w:color="000000"/>
              <w:left w:val="single" w:sz="6" w:space="0" w:color="000000"/>
              <w:bottom w:val="none" w:sz="0" w:space="0" w:color="auto"/>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项目支出</w:t>
            </w:r>
          </w:p>
        </w:tc>
      </w:tr>
      <w:tr>
        <w:tblPrEx>
          <w:tblW w:w="5000" w:type="pct"/>
          <w:tblInd w:w="20" w:type="dxa"/>
          <w:tblLayout w:type="fixed"/>
          <w:tblCellMar>
            <w:top w:w="0" w:type="dxa"/>
            <w:left w:w="108" w:type="dxa"/>
            <w:bottom w:w="0" w:type="dxa"/>
            <w:right w:w="108" w:type="dxa"/>
          </w:tblCellMar>
        </w:tblPrEx>
        <w:trPr>
          <w:cantSplit/>
          <w:tblHeader/>
        </w:trPr>
        <w:tc>
          <w:tcPr>
            <w:tcW w:w="3712" w:type="dxa"/>
            <w:vMerge/>
            <w:tcBorders>
              <w:left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3167" w:type="dxa"/>
            <w:vMerge/>
            <w:tcBorders>
              <w:left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3167" w:type="dxa"/>
            <w:vMerge/>
            <w:tcBorders>
              <w:left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3167" w:type="dxa"/>
            <w:vMerge/>
            <w:tcBorders>
              <w:left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3167" w:type="dxa"/>
            <w:vMerge/>
            <w:tcBorders>
              <w:left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r>
      <w:tr>
        <w:tblPrEx>
          <w:tblW w:w="5000" w:type="pct"/>
          <w:tblInd w:w="20" w:type="dxa"/>
          <w:tblLayout w:type="fixed"/>
          <w:tblCellMar>
            <w:top w:w="0" w:type="dxa"/>
            <w:left w:w="108" w:type="dxa"/>
            <w:bottom w:w="0" w:type="dxa"/>
            <w:right w:w="108" w:type="dxa"/>
          </w:tblCellMar>
        </w:tblPrEx>
        <w:trPr>
          <w:cantSplit/>
          <w:tblHeader/>
        </w:trPr>
        <w:tc>
          <w:tcPr>
            <w:tcW w:w="3712"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3167"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3167"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3167"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c>
          <w:tcPr>
            <w:tcW w:w="3167" w:type="dxa"/>
            <w:vMerge/>
            <w:tcBorders>
              <w:left w:val="single" w:sz="6" w:space="0" w:color="000000"/>
              <w:bottom w:val="single" w:sz="6" w:space="0" w:color="000000"/>
              <w:right w:val="single" w:sz="6" w:space="0" w:color="000000"/>
            </w:tcBorders>
            <w:tcMar>
              <w:left w:w="108" w:type="dxa"/>
              <w:right w:w="108" w:type="dxa"/>
            </w:tcMar>
            <w:vAlign w:val="center"/>
            <w:hideMark/>
          </w:tcPr>
          <w:p>
            <w:pPr>
              <w:rPr>
                <w:rFonts w:ascii="Times New Roman" w:eastAsia="Times New Roman" w:hAnsi="Times New Roman" w:cs="Times New Roman"/>
                <w:b w:val="0"/>
                <w:bCs w:val="0"/>
                <w:i w:val="0"/>
                <w:iCs w:val="0"/>
                <w:smallCaps w:val="0"/>
                <w:color w:val="000000"/>
                <w:kern w:val="0"/>
                <w:sz w:val="26"/>
                <w:szCs w:val="26"/>
              </w:rPr>
            </w:pPr>
          </w:p>
        </w:tc>
      </w:tr>
      <w:tr>
        <w:tblPrEx>
          <w:tblW w:w="5000" w:type="pct"/>
          <w:tblInd w:w="20" w:type="dxa"/>
          <w:tblLayout w:type="fixed"/>
          <w:tblCellMar>
            <w:top w:w="0" w:type="dxa"/>
            <w:left w:w="108" w:type="dxa"/>
            <w:bottom w:w="0" w:type="dxa"/>
            <w:right w:w="108" w:type="dxa"/>
          </w:tblCellMar>
        </w:tblPrEx>
        <w:trPr>
          <w:cantSplit/>
          <w:tblHeader/>
        </w:trPr>
        <w:tc>
          <w:tcPr>
            <w:tcW w:w="21600" w:type="dxa"/>
            <w:gridSpan w:val="2"/>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栏次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1</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2</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3</w:t>
            </w:r>
          </w:p>
        </w:tc>
      </w:tr>
      <w:tr>
        <w:tblPrEx>
          <w:tblW w:w="5000" w:type="pct"/>
          <w:tblInd w:w="20" w:type="dxa"/>
          <w:tblLayout w:type="fixed"/>
          <w:tblCellMar>
            <w:top w:w="0" w:type="dxa"/>
            <w:left w:w="108" w:type="dxa"/>
            <w:bottom w:w="0" w:type="dxa"/>
            <w:right w:w="108" w:type="dxa"/>
          </w:tblCellMar>
        </w:tblPrEx>
        <w:trPr>
          <w:cantSplit/>
          <w:tblHeader/>
        </w:trPr>
        <w:tc>
          <w:tcPr>
            <w:tcW w:w="21600" w:type="dxa"/>
            <w:gridSpan w:val="2"/>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合计</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c>
          <w:tcPr>
            <w:tcW w:w="21600" w:type="dxa"/>
            <w:tcBorders>
              <w:top w:val="single" w:sz="6" w:space="0" w:color="000000"/>
              <w:left w:val="single" w:sz="6" w:space="0" w:color="000000"/>
              <w:bottom w:val="single" w:sz="6" w:space="0" w:color="000000"/>
              <w:right w:val="single" w:sz="6" w:space="0" w:color="000000"/>
            </w:tcBorders>
            <w:noWrap w:val="0"/>
            <w:tcMar>
              <w:top w:w="15" w:type="dxa"/>
              <w:left w:w="108" w:type="dxa"/>
              <w:bottom w:w="15" w:type="dxa"/>
              <w:right w:w="108" w:type="dxa"/>
            </w:tcMar>
            <w:vAlign w:val="center"/>
            <w:hideMark/>
          </w:tcPr>
          <w:p>
            <w:pPr>
              <w:widowControl/>
              <w:jc w:val="center"/>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 </w:t>
            </w:r>
          </w:p>
        </w:tc>
      </w:tr>
      <w:tr>
        <w:tblPrEx>
          <w:tblW w:w="5000" w:type="pct"/>
          <w:tblInd w:w="20" w:type="dxa"/>
          <w:tblLayout w:type="fixed"/>
          <w:tblCellMar>
            <w:top w:w="0" w:type="dxa"/>
            <w:left w:w="108" w:type="dxa"/>
            <w:bottom w:w="0" w:type="dxa"/>
            <w:right w:w="108" w:type="dxa"/>
          </w:tblCellMar>
        </w:tblPrEx>
        <w:trPr>
          <w:cantSplit/>
        </w:trPr>
        <w:tc>
          <w:tcPr>
            <w:tcW w:w="16380" w:type="dxa"/>
            <w:gridSpan w:val="5"/>
            <w:noWrap w:val="0"/>
            <w:tcMar>
              <w:top w:w="15" w:type="dxa"/>
              <w:left w:w="108" w:type="dxa"/>
              <w:bottom w:w="15" w:type="dxa"/>
              <w:right w:w="108" w:type="dxa"/>
            </w:tcMar>
            <w:vAlign w:val="center"/>
            <w:hideMark/>
          </w:tcPr>
          <w:p>
            <w:pPr>
              <w:widowControl/>
              <w:spacing w:line="375" w:lineRule="atLeast"/>
              <w:jc w:val="left"/>
              <w:rPr>
                <w:rFonts w:ascii="Times New Roman" w:eastAsia="Times New Roman" w:hAnsi="Times New Roman" w:cs="Times New Roman"/>
                <w:b w:val="0"/>
                <w:bCs w:val="0"/>
                <w:i w:val="0"/>
                <w:iCs w:val="0"/>
                <w:smallCaps w:val="0"/>
                <w:color w:val="000000"/>
                <w:kern w:val="0"/>
                <w:sz w:val="26"/>
                <w:szCs w:val="26"/>
              </w:rPr>
            </w:pPr>
          </w:p>
        </w:tc>
      </w:tr>
      <w:tr>
        <w:tblPrEx>
          <w:tblW w:w="5000" w:type="pct"/>
          <w:tblInd w:w="20" w:type="dxa"/>
          <w:tblLayout w:type="fixed"/>
          <w:tblCellMar>
            <w:top w:w="0" w:type="dxa"/>
            <w:left w:w="108" w:type="dxa"/>
            <w:bottom w:w="0" w:type="dxa"/>
            <w:right w:w="108" w:type="dxa"/>
          </w:tblCellMar>
        </w:tblPrEx>
        <w:trPr>
          <w:cantSplit/>
        </w:trPr>
        <w:tc>
          <w:tcPr>
            <w:tcW w:w="16380" w:type="dxa"/>
            <w:gridSpan w:val="5"/>
            <w:noWrap w:val="0"/>
            <w:tcMar>
              <w:top w:w="15" w:type="dxa"/>
              <w:left w:w="108" w:type="dxa"/>
              <w:bottom w:w="15" w:type="dxa"/>
              <w:right w:w="108" w:type="dxa"/>
            </w:tcMar>
            <w:vAlign w:val="center"/>
            <w:hideMark/>
          </w:tcPr>
          <w:p>
            <w:pPr>
              <w:widowControl/>
              <w:spacing w:line="375" w:lineRule="atLeast"/>
              <w:jc w:val="left"/>
              <w:rPr>
                <w:rFonts w:ascii="Times New Roman" w:eastAsia="Times New Roman" w:hAnsi="Times New Roman" w:cs="Times New Roman"/>
                <w:b w:val="0"/>
                <w:bCs w:val="0"/>
                <w:i w:val="0"/>
                <w:iCs w:val="0"/>
                <w:smallCaps w:val="0"/>
                <w:color w:val="000000"/>
                <w:kern w:val="0"/>
                <w:sz w:val="26"/>
                <w:szCs w:val="26"/>
              </w:rPr>
            </w:pPr>
            <w:r>
              <w:rPr>
                <w:rFonts w:ascii="宋体" w:eastAsia="宋体" w:hAnsi="宋体" w:cs="宋体"/>
                <w:b w:val="0"/>
                <w:bCs w:val="0"/>
                <w:i w:val="0"/>
                <w:iCs w:val="0"/>
                <w:smallCaps w:val="0"/>
                <w:color w:val="000000"/>
                <w:kern w:val="0"/>
                <w:sz w:val="21"/>
                <w:szCs w:val="26"/>
              </w:rPr>
              <w:t>注：本部门2025年度没有使用国有资本经营预算财政拨款安排的支出。</w:t>
            </w:r>
          </w:p>
        </w:tc>
      </w:tr>
    </w:tbl>
    <w:p>
      <w:pPr>
        <w:sectPr>
          <w:footerReference w:type="default" r:id="rId18"/>
          <w:type w:val="nextPage"/>
          <w:pgSz w:w="16383" w:h="11906" w:orient="landscape"/>
          <w:pgMar w:top="1134" w:right="720" w:bottom="1134" w:left="720" w:header="720" w:footer="720"/>
          <w:cols w:space="720"/>
        </w:sectPr>
      </w:pPr>
    </w:p>
    <w:p>
      <w:pPr>
        <w:widowControl/>
        <w:jc w:val="left"/>
        <w:rPr>
          <w:rFonts w:ascii="Times New Roman" w:eastAsia="Times New Roman" w:hAnsi="Times New Roman" w:cs="Times New Roman"/>
          <w:kern w:val="0"/>
          <w:sz w:val="24"/>
        </w:rPr>
      </w:pPr>
      <w:r>
        <w:rPr>
          <w:rFonts w:ascii="Times New Roman" w:eastAsia="Times New Roman" w:hAnsi="Times New Roman" w:cs="Times New Roman"/>
          <w:kern w:val="0"/>
          <w:sz w:val="24"/>
        </w:rPr>
        <w:t> </w:t>
      </w:r>
    </w:p>
    <w:p>
      <w:pPr>
        <w:pStyle w:val="MsoNormal"/>
        <w:widowControl/>
        <w:spacing w:before="240" w:after="100" w:line="560" w:lineRule="atLeast"/>
        <w:ind w:left="100" w:right="100" w:firstLine="0"/>
        <w:jc w:val="center"/>
        <w:rPr>
          <w:rFonts w:ascii="Times New Roman" w:eastAsia="Times New Roman" w:hAnsi="Times New Roman" w:cs="Times New Roman"/>
          <w:kern w:val="0"/>
          <w:sz w:val="24"/>
        </w:rPr>
      </w:pPr>
      <w:r>
        <w:rPr>
          <w:rFonts w:ascii="SimSun" w:eastAsia="SimSun" w:hAnsi="SimSun" w:cs="SimSun"/>
          <w:spacing w:val="0"/>
          <w:kern w:val="0"/>
          <w:sz w:val="36"/>
          <w:szCs w:val="36"/>
        </w:rPr>
        <w:t> </w:t>
      </w:r>
    </w:p>
    <w:p>
      <w:pPr>
        <w:pStyle w:val="MsoNormal"/>
        <w:widowControl/>
        <w:spacing w:before="100" w:after="100" w:line="560" w:lineRule="atLeast"/>
        <w:ind w:left="100" w:right="100" w:firstLine="0"/>
        <w:jc w:val="center"/>
        <w:rPr>
          <w:rFonts w:ascii="Times New Roman" w:eastAsia="Times New Roman" w:hAnsi="Times New Roman" w:cs="Times New Roman"/>
          <w:kern w:val="0"/>
          <w:sz w:val="24"/>
        </w:rPr>
      </w:pPr>
    </w:p>
    <w:p>
      <w:pPr>
        <w:pStyle w:val="MsoNormal"/>
        <w:widowControl/>
        <w:spacing w:before="100" w:after="100" w:line="560" w:lineRule="atLeast"/>
        <w:ind w:left="100" w:right="100" w:firstLine="0"/>
        <w:rPr>
          <w:rFonts w:ascii="Times New Roman" w:eastAsia="Times New Roman" w:hAnsi="Times New Roman" w:cs="Times New Roman"/>
          <w:kern w:val="0"/>
          <w:sz w:val="24"/>
        </w:rPr>
      </w:pPr>
      <w:r>
        <w:rPr>
          <w:rFonts w:ascii="SimSun" w:eastAsia="SimSun" w:hAnsi="SimSun" w:cs="SimSun"/>
          <w:spacing w:val="0"/>
          <w:kern w:val="0"/>
          <w:sz w:val="36"/>
          <w:szCs w:val="36"/>
        </w:rPr>
        <w:t> </w:t>
      </w:r>
    </w:p>
    <w:p>
      <w:pPr>
        <w:pStyle w:val="MsoNormal"/>
        <w:widowControl/>
        <w:spacing w:before="100" w:after="100" w:line="560" w:lineRule="atLeast"/>
        <w:ind w:left="100" w:right="100" w:firstLine="0"/>
        <w:jc w:val="center"/>
        <w:rPr>
          <w:rFonts w:ascii="Times New Roman" w:eastAsia="Times New Roman" w:hAnsi="Times New Roman" w:cs="Times New Roman"/>
          <w:kern w:val="0"/>
          <w:sz w:val="24"/>
        </w:rPr>
      </w:pPr>
      <w:r>
        <w:rPr>
          <w:rFonts w:ascii="SimSun" w:eastAsia="SimSun" w:hAnsi="SimSun" w:cs="SimSun"/>
          <w:spacing w:val="0"/>
          <w:kern w:val="0"/>
          <w:sz w:val="36"/>
          <w:szCs w:val="36"/>
        </w:rPr>
        <w:t> </w:t>
      </w:r>
    </w:p>
    <w:p>
      <w:pPr>
        <w:pStyle w:val="MsoNormal"/>
        <w:widowControl/>
        <w:spacing w:before="100" w:after="100"/>
        <w:ind w:left="100" w:right="100" w:firstLine="0"/>
        <w:jc w:val="left"/>
        <w:rPr>
          <w:rFonts w:ascii="Times New Roman" w:eastAsia="Times New Roman" w:hAnsi="Times New Roman" w:cs="Times New Roman"/>
          <w:kern w:val="0"/>
          <w:sz w:val="24"/>
        </w:rPr>
      </w:pPr>
      <w:r>
        <w:rPr>
          <w:rFonts w:ascii="Calibri" w:eastAsia="Calibri" w:hAnsi="Calibri" w:cs="Calibri"/>
          <w:spacing w:val="0"/>
          <w:kern w:val="0"/>
          <w:szCs w:val="21"/>
        </w:rPr>
        <w:t> </w:t>
      </w:r>
      <w:r>
        <w:rPr>
          <w:rFonts w:ascii="SimSun" w:eastAsia="SimSun" w:hAnsi="SimSun" w:cs="SimSun"/>
          <w:spacing w:val="0"/>
          <w:kern w:val="0"/>
          <w:sz w:val="36"/>
          <w:szCs w:val="36"/>
        </w:rPr>
        <w:t> </w:t>
      </w:r>
    </w:p>
    <w:p>
      <w:pPr>
        <w:pStyle w:val="p"/>
        <w:widowControl/>
        <w:spacing w:before="100" w:after="100"/>
        <w:ind w:left="100" w:right="100" w:firstLine="0"/>
        <w:jc w:val="center"/>
        <w:rPr>
          <w:rFonts w:ascii="Times New Roman" w:eastAsia="Times New Roman" w:hAnsi="Times New Roman" w:cs="Times New Roman"/>
          <w:kern w:val="0"/>
          <w:sz w:val="24"/>
        </w:rPr>
      </w:pPr>
      <w:r>
        <w:rPr>
          <w:rFonts w:ascii="SimSun" w:eastAsia="SimSun" w:hAnsi="SimSun" w:cs="SimSun"/>
          <w:spacing w:val="0"/>
          <w:kern w:val="0"/>
          <w:sz w:val="36"/>
          <w:szCs w:val="36"/>
        </w:rPr>
        <w:t> </w:t>
      </w:r>
      <w:r>
        <w:rPr>
          <w:rFonts w:ascii="SimSun" w:eastAsia="SimSun" w:hAnsi="SimSun" w:cs="SimSun"/>
          <w:spacing w:val="0"/>
          <w:kern w:val="0"/>
          <w:sz w:val="36"/>
          <w:szCs w:val="36"/>
        </w:rPr>
        <w:t> </w:t>
      </w:r>
      <w:r>
        <w:rPr>
          <w:rFonts w:ascii="SimSun" w:eastAsia="SimSun" w:hAnsi="SimSun" w:cs="SimSun"/>
          <w:spacing w:val="0"/>
          <w:kern w:val="0"/>
          <w:sz w:val="36"/>
          <w:szCs w:val="36"/>
        </w:rPr>
        <w:t> </w:t>
      </w:r>
      <w:r>
        <w:rPr>
          <w:rFonts w:ascii="SimSun" w:eastAsia="SimSun" w:hAnsi="SimSun" w:cs="SimSun"/>
          <w:spacing w:val="0"/>
          <w:kern w:val="0"/>
          <w:sz w:val="36"/>
          <w:szCs w:val="36"/>
        </w:rPr>
        <w:t> </w:t>
      </w:r>
    </w:p>
    <w:p>
      <w:pPr>
        <w:pStyle w:val="p"/>
        <w:widowControl/>
        <w:spacing w:before="100" w:after="100"/>
        <w:ind w:left="100" w:right="100" w:firstLine="0"/>
        <w:jc w:val="center"/>
        <w:rPr>
          <w:rFonts w:ascii="Times New Roman" w:eastAsia="Times New Roman" w:hAnsi="Times New Roman" w:cs="Times New Roman"/>
          <w:kern w:val="0"/>
          <w:sz w:val="24"/>
        </w:rPr>
      </w:pPr>
      <w:r>
        <w:rPr>
          <w:rFonts w:ascii="SimSun" w:eastAsia="SimSun" w:hAnsi="SimSun" w:cs="SimSun"/>
          <w:spacing w:val="0"/>
          <w:kern w:val="0"/>
          <w:sz w:val="36"/>
          <w:szCs w:val="36"/>
        </w:rPr>
        <w:t> </w:t>
      </w:r>
    </w:p>
    <w:p>
      <w:pPr>
        <w:pStyle w:val="p"/>
        <w:widowControl/>
        <w:spacing w:before="100" w:after="100"/>
        <w:ind w:left="100" w:right="100" w:firstLine="0"/>
        <w:jc w:val="center"/>
        <w:rPr>
          <w:rFonts w:ascii="Times New Roman" w:eastAsia="Times New Roman" w:hAnsi="Times New Roman" w:cs="Times New Roman"/>
          <w:kern w:val="0"/>
          <w:sz w:val="24"/>
        </w:rPr>
      </w:pPr>
      <w:r>
        <w:rPr>
          <w:rFonts w:ascii="SimSun" w:eastAsia="SimSun" w:hAnsi="SimSun" w:cs="SimSun"/>
          <w:spacing w:val="0"/>
          <w:kern w:val="0"/>
          <w:sz w:val="36"/>
          <w:szCs w:val="36"/>
        </w:rPr>
        <w:t> </w:t>
      </w:r>
      <w:r>
        <w:rPr>
          <w:rFonts w:ascii="SimSun" w:eastAsia="SimSun" w:hAnsi="SimSun" w:cs="SimSun"/>
          <w:spacing w:val="0"/>
          <w:kern w:val="0"/>
          <w:sz w:val="36"/>
          <w:szCs w:val="36"/>
        </w:rPr>
        <w:t> </w:t>
      </w:r>
    </w:p>
    <w:p>
      <w:pPr>
        <w:pStyle w:val="p"/>
        <w:widowControl/>
        <w:spacing w:before="100" w:after="100"/>
        <w:ind w:left="100" w:right="100" w:firstLine="0"/>
        <w:jc w:val="center"/>
        <w:rPr>
          <w:rFonts w:ascii="Times New Roman" w:eastAsia="Times New Roman" w:hAnsi="Times New Roman" w:cs="Times New Roman"/>
          <w:kern w:val="0"/>
          <w:sz w:val="24"/>
        </w:rPr>
      </w:pPr>
      <w:r>
        <w:rPr>
          <w:rFonts w:ascii="SimSun" w:eastAsia="SimSun" w:hAnsi="SimSun" w:cs="SimSun"/>
          <w:spacing w:val="0"/>
          <w:kern w:val="0"/>
          <w:sz w:val="36"/>
          <w:szCs w:val="36"/>
        </w:rPr>
        <w:t>  </w:t>
      </w:r>
    </w:p>
    <w:p>
      <w:pPr>
        <w:pStyle w:val="Heading2"/>
        <w:keepNext w:val="0"/>
        <w:keepLines w:val="0"/>
        <w:spacing w:before="100" w:after="100" w:line="240" w:lineRule="auto"/>
        <w:ind w:left="100" w:right="100" w:firstLine="0" w:firstLineChars="0"/>
        <w:jc w:val="center"/>
        <w:rPr>
          <w:rFonts w:ascii="Times New Roman" w:eastAsia="Times New Roman" w:hAnsi="Times New Roman" w:cs="Times New Roman"/>
          <w:b/>
          <w:bCs/>
          <w:kern w:val="0"/>
          <w:sz w:val="36"/>
          <w:szCs w:val="36"/>
        </w:rPr>
      </w:pPr>
      <w:bookmarkStart w:id="16" w:name="_Toc256000068"/>
      <w:r>
        <w:rPr>
          <w:rFonts w:ascii="SimHei" w:eastAsia="SimHei" w:hAnsi="SimHei" w:cs="SimHei"/>
          <w:b w:val="0"/>
          <w:bCs w:val="0"/>
          <w:spacing w:val="0"/>
          <w:sz w:val="56"/>
          <w:szCs w:val="56"/>
        </w:rPr>
        <w:t>第三部分</w:t>
      </w:r>
      <w:r>
        <w:rPr>
          <w:rFonts w:ascii="SimHei" w:eastAsia="SimHei" w:hAnsi="SimHei" w:cs="SimHei"/>
          <w:b w:val="0"/>
          <w:bCs w:val="0"/>
          <w:spacing w:val="0"/>
          <w:sz w:val="56"/>
          <w:szCs w:val="56"/>
        </w:rPr>
        <w:br/>
      </w:r>
      <w:r>
        <w:rPr>
          <w:rFonts w:ascii="SimHei" w:eastAsia="SimHei" w:hAnsi="SimHei" w:cs="SimHei"/>
          <w:b w:val="0"/>
          <w:bCs w:val="0"/>
          <w:spacing w:val="0"/>
          <w:sz w:val="56"/>
          <w:szCs w:val="56"/>
        </w:rPr>
        <w:t>2025年度部门决算情况说明</w:t>
      </w:r>
      <w:bookmarkEnd w:id="16"/>
    </w:p>
    <w:p>
      <w:pPr>
        <w:widowControl/>
        <w:spacing w:before="240" w:after="240"/>
        <w:jc w:val="left"/>
        <w:rPr>
          <w:rFonts w:ascii="Times New Roman" w:eastAsia="Times New Roman" w:hAnsi="Times New Roman" w:cs="Times New Roman"/>
          <w:kern w:val="0"/>
          <w:sz w:val="24"/>
        </w:rPr>
      </w:pPr>
    </w:p>
    <w:p>
      <w:pPr>
        <w:sectPr>
          <w:footerReference w:type="default" r:id="rId19"/>
          <w:type w:val="nextPage"/>
          <w:pgSz w:w="11906" w:h="16838"/>
          <w:pgMar w:right="720" w:left="720" w:header="720" w:footer="720"/>
          <w:cols w:space="720"/>
        </w:sectPr>
      </w:pPr>
    </w:p>
    <w:p>
      <w:pPr>
        <w:widowControl/>
        <w:spacing w:before="240" w:after="240"/>
        <w:jc w:val="left"/>
        <w:rPr>
          <w:rFonts w:ascii="Times New Roman" w:eastAsia="Times New Roman" w:hAnsi="Times New Roman" w:cs="Times New Roman"/>
          <w:vanish/>
          <w:kern w:val="0"/>
          <w:sz w:val="24"/>
        </w:rPr>
      </w:pPr>
      <w:r>
        <w:rPr>
          <w:rFonts w:ascii="Times New Roman" w:eastAsia="Times New Roman" w:hAnsi="Times New Roman" w:cs="Times New Roman"/>
          <w:vanish/>
          <w:kern w:val="0"/>
          <w:sz w:val="24"/>
        </w:rPr>
        <w:t>word page break</w:t>
      </w:r>
    </w:p>
    <w:p>
      <w:pPr>
        <w:widowControl/>
        <w:spacing w:before="240" w:after="240"/>
        <w:jc w:val="left"/>
        <w:rPr>
          <w:rFonts w:ascii="Times New Roman" w:eastAsia="Times New Roman" w:hAnsi="Times New Roman" w:cs="Times New Roman"/>
          <w:kern w:val="0"/>
          <w:sz w:val="24"/>
        </w:rPr>
      </w:pPr>
    </w:p>
    <w:p>
      <w:pPr>
        <w:pStyle w:val="Heading3"/>
        <w:keepNext w:val="0"/>
        <w:keepLines w:val="0"/>
        <w:spacing w:before="100" w:after="100" w:line="240" w:lineRule="auto"/>
        <w:ind w:left="100" w:right="100" w:firstLine="640" w:firstLineChars="0"/>
        <w:rPr>
          <w:rFonts w:ascii="Times New Roman" w:eastAsia="Times New Roman" w:hAnsi="Times New Roman" w:cs="Times New Roman"/>
          <w:b/>
          <w:bCs/>
          <w:kern w:val="0"/>
          <w:sz w:val="28"/>
          <w:szCs w:val="28"/>
        </w:rPr>
      </w:pPr>
      <w:bookmarkStart w:id="17" w:name="_Toc256000069"/>
      <w:r>
        <w:rPr>
          <w:rFonts w:ascii="SimHei" w:eastAsia="SimHei" w:hAnsi="SimHei" w:cs="SimHei"/>
          <w:b w:val="0"/>
          <w:bCs w:val="0"/>
          <w:spacing w:val="0"/>
        </w:rPr>
        <w:t>一、收入支出决算总体情况说明</w:t>
      </w:r>
      <w:bookmarkEnd w:id="17"/>
      <w:r>
        <w:rPr>
          <w:rFonts w:ascii="SimHei" w:eastAsia="SimHei" w:hAnsi="SimHei" w:cs="SimHei"/>
          <w:b w:val="0"/>
          <w:bCs w:val="0"/>
          <w:spacing w:val="0"/>
        </w:rPr>
        <w:t> </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楷体_GB2312" w:eastAsia="楷体_GB2312" w:hAnsi="楷体_GB2312" w:cs="楷体_GB2312"/>
          <w:b/>
          <w:bCs/>
          <w:spacing w:val="0"/>
          <w:kern w:val="0"/>
          <w:sz w:val="32"/>
          <w:szCs w:val="32"/>
        </w:rPr>
        <w:t>（一）收入支出决算总体情况说明</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2025年度本部门收入总计416.73万元，支出总计416.73万元，与上年决算数相比，各增加186.98万元，增长81.38%。主要是机构合并，工作人员，人员经费、公用经费等均增加。</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楷体_GB2312" w:eastAsia="楷体_GB2312" w:hAnsi="楷体_GB2312" w:cs="楷体_GB2312"/>
          <w:b/>
          <w:bCs/>
          <w:spacing w:val="0"/>
          <w:kern w:val="0"/>
          <w:sz w:val="32"/>
          <w:szCs w:val="32"/>
        </w:rPr>
        <w:t>（二）收入决算情况说明</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2025年度收入400.10万元，比上年决算数增加186.98万元，增长87.73</w:t>
      </w:r>
      <w:r>
        <w:rPr>
          <w:rFonts w:ascii="FangSong_GB2312" w:eastAsia="FangSong_GB2312" w:hAnsi="FangSong_GB2312" w:cs="FangSong_GB2312"/>
          <w:spacing w:val="0"/>
          <w:kern w:val="0"/>
          <w:sz w:val="32"/>
          <w:szCs w:val="32"/>
        </w:rPr>
        <w:t>%</w:t>
      </w:r>
      <w:r>
        <w:rPr>
          <w:rFonts w:ascii="FangSong_GB2312" w:eastAsia="FangSong_GB2312" w:hAnsi="FangSong_GB2312" w:cs="FangSong_GB2312"/>
          <w:spacing w:val="0"/>
          <w:kern w:val="0"/>
          <w:sz w:val="32"/>
          <w:szCs w:val="32"/>
        </w:rPr>
        <w:t>，具体情况如下：</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1.一般公共预算财政拨款收入398.74万元。</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2.政府性基金预算财政拨款收入0万元。</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3.国有资本经营预算财政拨款收入0万元。</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4.上级补助收入0万元。</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5.事业收入0万元。</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6.经营收入0万元。</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7.附属单位上缴收入0万元。</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8.其他收入1.36万元。</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楷体_GB2312" w:eastAsia="楷体_GB2312" w:hAnsi="楷体_GB2312" w:cs="楷体_GB2312"/>
          <w:b/>
          <w:bCs/>
          <w:spacing w:val="0"/>
          <w:kern w:val="0"/>
          <w:sz w:val="32"/>
          <w:szCs w:val="32"/>
        </w:rPr>
        <w:t>（三）支出决算情况说明</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2025年度支出415.41万元，比上年决算数增加202.28万元，增长94.91</w:t>
      </w:r>
      <w:r>
        <w:rPr>
          <w:rFonts w:ascii="FangSong_GB2312" w:eastAsia="FangSong_GB2312" w:hAnsi="FangSong_GB2312" w:cs="FangSong_GB2312"/>
          <w:spacing w:val="0"/>
          <w:kern w:val="0"/>
          <w:sz w:val="32"/>
          <w:szCs w:val="32"/>
        </w:rPr>
        <w:t>%</w:t>
      </w:r>
      <w:r>
        <w:rPr>
          <w:rFonts w:ascii="FangSong_GB2312" w:eastAsia="FangSong_GB2312" w:hAnsi="FangSong_GB2312" w:cs="FangSong_GB2312"/>
          <w:spacing w:val="0"/>
          <w:kern w:val="0"/>
          <w:sz w:val="32"/>
          <w:szCs w:val="32"/>
        </w:rPr>
        <w:t>，具体情况如下：</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1.基本支出374.41万元。其中，人员支出345.42万元，公用支出28.99万元。</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2.项目支出41.00万元。</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3.上缴上级支出0万元。</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4.经营支出0万元。</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5.对附属单位补助支出0万元。</w:t>
      </w:r>
    </w:p>
    <w:p>
      <w:pPr>
        <w:pStyle w:val="Heading3"/>
        <w:keepNext w:val="0"/>
        <w:keepLines w:val="0"/>
        <w:spacing w:before="100" w:after="100" w:line="240" w:lineRule="auto"/>
        <w:ind w:left="100" w:right="100" w:firstLine="640" w:firstLineChars="0"/>
        <w:rPr>
          <w:rFonts w:ascii="Times New Roman" w:eastAsia="Times New Roman" w:hAnsi="Times New Roman" w:cs="Times New Roman"/>
          <w:b/>
          <w:bCs/>
          <w:kern w:val="0"/>
          <w:sz w:val="28"/>
          <w:szCs w:val="28"/>
        </w:rPr>
      </w:pPr>
      <w:bookmarkStart w:id="18" w:name="_Toc256000070"/>
      <w:r>
        <w:rPr>
          <w:rFonts w:ascii="SimHei" w:eastAsia="SimHei" w:hAnsi="SimHei" w:cs="SimHei"/>
          <w:b w:val="0"/>
          <w:bCs w:val="0"/>
          <w:spacing w:val="0"/>
        </w:rPr>
        <w:t>二、财政拨款收入支出决算总体情况说明</w:t>
      </w:r>
      <w:bookmarkEnd w:id="18"/>
      <w:r>
        <w:rPr>
          <w:rFonts w:ascii="SimHei" w:eastAsia="SimHei" w:hAnsi="SimHei" w:cs="SimHei"/>
          <w:b w:val="0"/>
          <w:bCs w:val="0"/>
          <w:spacing w:val="0"/>
        </w:rPr>
        <w:t> </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2025年度财政拨款收入总计415.36万元，支出总计 415.36万元，与上年决算数相比，各增加185.61</w:t>
      </w:r>
      <w:r>
        <w:rPr>
          <w:rFonts w:ascii="FangSong_GB2312" w:eastAsia="FangSong_GB2312" w:hAnsi="FangSong_GB2312" w:cs="FangSong_GB2312"/>
          <w:spacing w:val="0"/>
          <w:kern w:val="0"/>
          <w:sz w:val="32"/>
          <w:szCs w:val="32"/>
        </w:rPr>
        <w:t>万元，增长80.79</w:t>
      </w:r>
      <w:r>
        <w:rPr>
          <w:rFonts w:ascii="FangSong_GB2312" w:eastAsia="FangSong_GB2312" w:hAnsi="FangSong_GB2312" w:cs="FangSong_GB2312"/>
          <w:spacing w:val="0"/>
          <w:kern w:val="0"/>
          <w:sz w:val="32"/>
          <w:szCs w:val="32"/>
        </w:rPr>
        <w:t>%，</w:t>
      </w:r>
      <w:r>
        <w:rPr>
          <w:rFonts w:ascii="FangSong_GB2312" w:eastAsia="FangSong_GB2312" w:hAnsi="FangSong_GB2312" w:cs="FangSong_GB2312"/>
          <w:spacing w:val="0"/>
          <w:kern w:val="0"/>
          <w:sz w:val="32"/>
          <w:szCs w:val="32"/>
        </w:rPr>
        <w:t>主要是：机构合并，工作人员，人员经费、公用经费等均增加。。</w:t>
      </w:r>
    </w:p>
    <w:p>
      <w:pPr>
        <w:pStyle w:val="Heading3"/>
        <w:keepNext w:val="0"/>
        <w:keepLines w:val="0"/>
        <w:spacing w:before="100" w:after="100" w:line="560" w:lineRule="atLeast"/>
        <w:ind w:left="100" w:right="100" w:firstLine="640" w:firstLineChars="0"/>
        <w:rPr>
          <w:rFonts w:ascii="Times New Roman" w:eastAsia="Times New Roman" w:hAnsi="Times New Roman" w:cs="Times New Roman"/>
          <w:b/>
          <w:bCs/>
          <w:kern w:val="0"/>
          <w:sz w:val="28"/>
          <w:szCs w:val="28"/>
        </w:rPr>
      </w:pPr>
      <w:bookmarkStart w:id="19" w:name="_Toc256000071"/>
      <w:r>
        <w:rPr>
          <w:rFonts w:ascii="SimHei" w:eastAsia="SimHei" w:hAnsi="SimHei" w:cs="SimHei"/>
          <w:b w:val="0"/>
          <w:bCs w:val="0"/>
          <w:spacing w:val="0"/>
        </w:rPr>
        <w:t>三、一般公共预算财政拨款支出决算情况说明</w:t>
      </w:r>
      <w:bookmarkEnd w:id="19"/>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2025年度一般公共预算财政拨款支出414.05万元，比上年决算数增加200.92万元，增长94.27%，具体情况如下(按项级科目分类统计)：</w:t>
      </w:r>
    </w:p>
    <w:p>
      <w:pPr>
        <w:pStyle w:val="MsoNormal"/>
        <w:widowControl/>
        <w:spacing w:before="100" w:after="100" w:line="560" w:lineRule="atLeast"/>
        <w:ind w:left="100" w:right="100" w:firstLine="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  （一）2013201 行政运行 0.82万元，较上年决算数增加0.82万元。主要原因是机构合并，人员经费增加。</w:t>
      </w:r>
      <w:r>
        <w:rPr>
          <w:rFonts w:ascii="FangSong_GB2312" w:eastAsia="FangSong_GB2312" w:hAnsi="FangSong_GB2312" w:cs="FangSong_GB2312"/>
          <w:spacing w:val="0"/>
          <w:kern w:val="0"/>
          <w:sz w:val="32"/>
          <w:szCs w:val="32"/>
        </w:rPr>
        <w:br/>
      </w:r>
      <w:r>
        <w:rPr>
          <w:rFonts w:ascii="FangSong_GB2312" w:eastAsia="FangSong_GB2312" w:hAnsi="FangSong_GB2312" w:cs="FangSong_GB2312"/>
          <w:spacing w:val="0"/>
          <w:kern w:val="0"/>
          <w:sz w:val="32"/>
          <w:szCs w:val="32"/>
        </w:rPr>
        <w:t>  （二）2013901 行政运行 249.90万元，较上年决算数增加114.54万元，增长84.62%。主要原因是机构合并，人员经费增加。</w:t>
      </w:r>
      <w:r>
        <w:rPr>
          <w:rFonts w:ascii="FangSong_GB2312" w:eastAsia="FangSong_GB2312" w:hAnsi="FangSong_GB2312" w:cs="FangSong_GB2312"/>
          <w:spacing w:val="0"/>
          <w:kern w:val="0"/>
          <w:sz w:val="32"/>
          <w:szCs w:val="32"/>
        </w:rPr>
        <w:br/>
      </w:r>
      <w:r>
        <w:rPr>
          <w:rFonts w:ascii="FangSong_GB2312" w:eastAsia="FangSong_GB2312" w:hAnsi="FangSong_GB2312" w:cs="FangSong_GB2312"/>
          <w:spacing w:val="0"/>
          <w:kern w:val="0"/>
          <w:sz w:val="32"/>
          <w:szCs w:val="32"/>
        </w:rPr>
        <w:t>  （三）2013904 专项业务 93.82万元，较上年决算数增加93.82万元。主要原因是机构合并，经费增加。</w:t>
      </w:r>
      <w:r>
        <w:rPr>
          <w:rFonts w:ascii="FangSong_GB2312" w:eastAsia="FangSong_GB2312" w:hAnsi="FangSong_GB2312" w:cs="FangSong_GB2312"/>
          <w:spacing w:val="0"/>
          <w:kern w:val="0"/>
          <w:sz w:val="32"/>
          <w:szCs w:val="32"/>
        </w:rPr>
        <w:br/>
      </w:r>
      <w:r>
        <w:rPr>
          <w:rFonts w:ascii="FangSong_GB2312" w:eastAsia="FangSong_GB2312" w:hAnsi="FangSong_GB2312" w:cs="FangSong_GB2312"/>
          <w:spacing w:val="0"/>
          <w:kern w:val="0"/>
          <w:sz w:val="32"/>
          <w:szCs w:val="32"/>
        </w:rPr>
        <w:t>  （四）2013950 事业运行 5.41万元，较上年决算数增加5.41万元。主要原因是机构合并，人员经费增加。</w:t>
      </w:r>
      <w:r>
        <w:rPr>
          <w:rFonts w:ascii="FangSong_GB2312" w:eastAsia="FangSong_GB2312" w:hAnsi="FangSong_GB2312" w:cs="FangSong_GB2312"/>
          <w:spacing w:val="0"/>
          <w:kern w:val="0"/>
          <w:sz w:val="32"/>
          <w:szCs w:val="32"/>
        </w:rPr>
        <w:br/>
      </w:r>
      <w:r>
        <w:rPr>
          <w:rFonts w:ascii="FangSong_GB2312" w:eastAsia="FangSong_GB2312" w:hAnsi="FangSong_GB2312" w:cs="FangSong_GB2312"/>
          <w:spacing w:val="0"/>
          <w:kern w:val="0"/>
          <w:sz w:val="32"/>
          <w:szCs w:val="32"/>
        </w:rPr>
        <w:t>  （五）2013999 其他社会工作事务支出 8.72万元，较上年决算数增加8.72万元。主要原因是机构合并，经费增加。</w:t>
      </w:r>
      <w:r>
        <w:rPr>
          <w:rFonts w:ascii="FangSong_GB2312" w:eastAsia="FangSong_GB2312" w:hAnsi="FangSong_GB2312" w:cs="FangSong_GB2312"/>
          <w:spacing w:val="0"/>
          <w:kern w:val="0"/>
          <w:sz w:val="32"/>
          <w:szCs w:val="32"/>
        </w:rPr>
        <w:br/>
      </w:r>
      <w:r>
        <w:rPr>
          <w:rFonts w:ascii="FangSong_GB2312" w:eastAsia="FangSong_GB2312" w:hAnsi="FangSong_GB2312" w:cs="FangSong_GB2312"/>
          <w:spacing w:val="0"/>
          <w:kern w:val="0"/>
          <w:sz w:val="32"/>
          <w:szCs w:val="32"/>
        </w:rPr>
        <w:t>  （六）2014001 行政运行 35.00万元，较上年决算数增加35.00万元。主要原因是机构合并，经费增加。</w:t>
      </w:r>
      <w:r>
        <w:rPr>
          <w:rFonts w:ascii="FangSong_GB2312" w:eastAsia="FangSong_GB2312" w:hAnsi="FangSong_GB2312" w:cs="FangSong_GB2312"/>
          <w:spacing w:val="0"/>
          <w:kern w:val="0"/>
          <w:sz w:val="32"/>
          <w:szCs w:val="32"/>
        </w:rPr>
        <w:br/>
      </w:r>
      <w:r>
        <w:rPr>
          <w:rFonts w:ascii="FangSong_GB2312" w:eastAsia="FangSong_GB2312" w:hAnsi="FangSong_GB2312" w:cs="FangSong_GB2312"/>
          <w:spacing w:val="0"/>
          <w:kern w:val="0"/>
          <w:sz w:val="32"/>
          <w:szCs w:val="32"/>
        </w:rPr>
        <w:t>  （七）2014004 信访业务 20.38万元，较上年决算数增加1.75万元，增长9.37%。主要原因是机构合并，经费增加。</w:t>
      </w:r>
    </w:p>
    <w:p>
      <w:pPr>
        <w:pStyle w:val="Heading3"/>
        <w:keepNext w:val="0"/>
        <w:keepLines w:val="0"/>
        <w:spacing w:before="100" w:after="100" w:line="560" w:lineRule="atLeast"/>
        <w:ind w:left="100" w:right="100" w:firstLine="640" w:firstLineChars="0"/>
        <w:rPr>
          <w:rFonts w:ascii="Times New Roman" w:eastAsia="Times New Roman" w:hAnsi="Times New Roman" w:cs="Times New Roman"/>
          <w:b/>
          <w:bCs/>
          <w:kern w:val="0"/>
          <w:sz w:val="28"/>
          <w:szCs w:val="28"/>
        </w:rPr>
      </w:pPr>
      <w:bookmarkStart w:id="20" w:name="_Toc256000072"/>
      <w:r>
        <w:rPr>
          <w:rFonts w:ascii="SimHei" w:eastAsia="SimHei" w:hAnsi="SimHei" w:cs="SimHei"/>
          <w:b w:val="0"/>
          <w:bCs w:val="0"/>
          <w:spacing w:val="0"/>
        </w:rPr>
        <w:t>四、政府性基金预算财政拨款支出决算情况说明</w:t>
      </w:r>
      <w:bookmarkEnd w:id="20"/>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本部门2025年度没有使用政府性基金预算财政拨款安排的支出。</w:t>
      </w:r>
    </w:p>
    <w:p>
      <w:pPr>
        <w:pStyle w:val="Heading3"/>
        <w:keepNext w:val="0"/>
        <w:keepLines w:val="0"/>
        <w:spacing w:before="100" w:after="100" w:line="560" w:lineRule="atLeast"/>
        <w:ind w:left="100" w:right="100" w:firstLine="640" w:firstLineChars="0"/>
        <w:rPr>
          <w:rFonts w:ascii="Times New Roman" w:eastAsia="Times New Roman" w:hAnsi="Times New Roman" w:cs="Times New Roman"/>
          <w:b/>
          <w:bCs/>
          <w:kern w:val="0"/>
          <w:sz w:val="28"/>
          <w:szCs w:val="28"/>
        </w:rPr>
      </w:pPr>
      <w:bookmarkStart w:id="21" w:name="_Toc256000073"/>
      <w:r>
        <w:rPr>
          <w:rFonts w:ascii="SimHei" w:eastAsia="SimHei" w:hAnsi="SimHei" w:cs="SimHei"/>
          <w:b w:val="0"/>
          <w:bCs w:val="0"/>
          <w:spacing w:val="0"/>
        </w:rPr>
        <w:t>五、国有资本经营预算财政拨款支出决算情况说明</w:t>
      </w:r>
      <w:bookmarkEnd w:id="21"/>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本部门2025年度没有使用国有资本经营预算财政拨款安排的支出。</w:t>
      </w:r>
    </w:p>
    <w:p>
      <w:pPr>
        <w:pStyle w:val="Heading3"/>
        <w:keepNext w:val="0"/>
        <w:keepLines w:val="0"/>
        <w:spacing w:before="100" w:after="100" w:line="560" w:lineRule="atLeast"/>
        <w:ind w:left="100" w:right="100" w:firstLine="640" w:firstLineChars="0"/>
        <w:rPr>
          <w:rFonts w:ascii="Times New Roman" w:eastAsia="Times New Roman" w:hAnsi="Times New Roman" w:cs="Times New Roman"/>
          <w:b/>
          <w:bCs/>
          <w:kern w:val="0"/>
          <w:sz w:val="28"/>
          <w:szCs w:val="28"/>
        </w:rPr>
      </w:pPr>
      <w:bookmarkStart w:id="22" w:name="_Toc256000074"/>
      <w:r>
        <w:rPr>
          <w:rFonts w:ascii="SimHei" w:eastAsia="SimHei" w:hAnsi="SimHei" w:cs="SimHei"/>
          <w:b w:val="0"/>
          <w:bCs w:val="0"/>
          <w:spacing w:val="0"/>
        </w:rPr>
        <w:t>六、一般公共预算财政拨款基本支出决算情况说明</w:t>
      </w:r>
      <w:bookmarkEnd w:id="22"/>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2025年度一般公共预算财政拨款基本支出373.05万元，其中：</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（一）人员经费345.42万元，主要包括：</w:t>
      </w:r>
      <w:r>
        <w:rPr>
          <w:rFonts w:ascii="FangSong_GB2312" w:eastAsia="FangSong_GB2312" w:hAnsi="FangSong_GB2312" w:cs="FangSong_GB2312"/>
          <w:kern w:val="0"/>
          <w:sz w:val="32"/>
          <w:szCs w:val="32"/>
        </w:rPr>
        <w:t>基本工资、津贴补贴、奖金、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（二）公用经费27.62万元，主要包括：</w:t>
      </w:r>
      <w:r>
        <w:rPr>
          <w:rFonts w:ascii="FangSong_GB2312" w:eastAsia="FangSong_GB2312" w:hAnsi="FangSong_GB2312" w:cs="FangSong_GB2312"/>
          <w:kern w:val="0"/>
          <w:sz w:val="32"/>
          <w:szCs w:val="32"/>
        </w:rPr>
        <w:t>办公费、印刷费、手续费、水费、电费、邮电费、取暖费、物业管理费、差旅费、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交通工具购置、文物和陈列品购置、无形资产购置、其他资本性支出、赠与。</w:t>
      </w:r>
    </w:p>
    <w:p>
      <w:pPr>
        <w:pStyle w:val="Heading3"/>
        <w:keepNext w:val="0"/>
        <w:keepLines w:val="0"/>
        <w:spacing w:before="100" w:after="100" w:line="560" w:lineRule="atLeast"/>
        <w:ind w:left="100" w:right="100" w:firstLine="640" w:firstLineChars="0"/>
        <w:rPr>
          <w:rFonts w:ascii="Times New Roman" w:eastAsia="Times New Roman" w:hAnsi="Times New Roman" w:cs="Times New Roman"/>
          <w:b/>
          <w:bCs/>
          <w:kern w:val="0"/>
          <w:sz w:val="28"/>
          <w:szCs w:val="28"/>
        </w:rPr>
      </w:pPr>
      <w:bookmarkStart w:id="23" w:name="_Toc256000075"/>
      <w:r>
        <w:rPr>
          <w:rFonts w:ascii="SimHei" w:eastAsia="SimHei" w:hAnsi="SimHei" w:cs="SimHei"/>
          <w:b w:val="0"/>
          <w:bCs w:val="0"/>
          <w:spacing w:val="0"/>
        </w:rPr>
        <w:t>七、一般公共预算财政拨款“三公”经费支出决算情况说明</w:t>
      </w:r>
      <w:bookmarkEnd w:id="23"/>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2025年度一般公共预算财政拨款“三公”经费支出0万元，与全年预算数持平，</w:t>
      </w:r>
      <w:r>
        <w:rPr>
          <w:rFonts w:ascii="FangSong_GB2312" w:eastAsia="FangSong_GB2312" w:hAnsi="FangSong_GB2312" w:cs="FangSong_GB2312"/>
          <w:spacing w:val="0"/>
          <w:kern w:val="0"/>
          <w:sz w:val="32"/>
          <w:szCs w:val="32"/>
        </w:rPr>
        <w:t>较上年减少1.33万元，下降100.00%。主要原因是本年度没有接待客人。</w:t>
      </w:r>
      <w:r>
        <w:rPr>
          <w:rFonts w:ascii="FangSong_GB2312" w:eastAsia="FangSong_GB2312" w:hAnsi="FangSong_GB2312" w:cs="FangSong_GB2312"/>
          <w:kern w:val="0"/>
          <w:sz w:val="32"/>
          <w:szCs w:val="32"/>
        </w:rPr>
        <w:t>。</w:t>
      </w:r>
      <w:r>
        <w:rPr>
          <w:rFonts w:ascii="FangSong_GB2312" w:eastAsia="FangSong_GB2312" w:hAnsi="FangSong_GB2312" w:cs="FangSong_GB2312"/>
          <w:spacing w:val="0"/>
          <w:kern w:val="0"/>
          <w:sz w:val="32"/>
          <w:szCs w:val="32"/>
        </w:rPr>
        <w:t>具体情况如下：</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（一）因公出国（境）费用支出 0万元，与全年预算数持平，</w:t>
      </w:r>
      <w:r>
        <w:rPr>
          <w:rFonts w:ascii="FangSong_GB2312" w:eastAsia="FangSong_GB2312" w:hAnsi="FangSong_GB2312" w:cs="FangSong_GB2312"/>
          <w:kern w:val="0"/>
          <w:sz w:val="32"/>
          <w:szCs w:val="32"/>
        </w:rPr>
        <w:t>与上年决算数持平。</w:t>
      </w:r>
      <w:r>
        <w:rPr>
          <w:rFonts w:ascii="FangSong_GB2312" w:eastAsia="FangSong_GB2312" w:hAnsi="FangSong_GB2312" w:cs="FangSong_GB2312"/>
          <w:kern w:val="0"/>
          <w:sz w:val="32"/>
          <w:szCs w:val="32"/>
        </w:rPr>
        <w:t>全年安排本部门组织的出国团组0 个，参加其他部门出国团组0个；全年因公出国（境）累计0 人次。</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（二）公务用车购置及运行费支出0万元，与全年预算数持平，</w:t>
      </w:r>
      <w:r>
        <w:rPr>
          <w:rFonts w:ascii="FangSong_GB2312" w:eastAsia="FangSong_GB2312" w:hAnsi="FangSong_GB2312" w:cs="FangSong_GB2312"/>
          <w:spacing w:val="0"/>
          <w:kern w:val="0"/>
          <w:sz w:val="32"/>
          <w:szCs w:val="32"/>
        </w:rPr>
        <w:t>与上年决算数持平。</w:t>
      </w:r>
      <w:r>
        <w:rPr>
          <w:rFonts w:ascii="FangSong_GB2312" w:eastAsia="FangSong_GB2312" w:hAnsi="FangSong_GB2312" w:cs="FangSong_GB2312"/>
          <w:kern w:val="0"/>
          <w:sz w:val="32"/>
          <w:szCs w:val="32"/>
        </w:rPr>
        <w:t>其中：</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公务用车购置费支出0万元，与全年预算数持平，</w:t>
      </w:r>
      <w:r>
        <w:rPr>
          <w:rFonts w:ascii="FangSong_GB2312" w:eastAsia="FangSong_GB2312" w:hAnsi="FangSong_GB2312" w:cs="FangSong_GB2312"/>
          <w:kern w:val="0"/>
          <w:sz w:val="32"/>
          <w:szCs w:val="32"/>
        </w:rPr>
        <w:t>与上年决算数持平</w:t>
      </w:r>
      <w:r>
        <w:rPr>
          <w:rFonts w:ascii="FangSong_GB2312" w:eastAsia="FangSong_GB2312" w:hAnsi="FangSong_GB2312" w:cs="FangSong_GB2312"/>
          <w:kern w:val="0"/>
          <w:sz w:val="32"/>
          <w:szCs w:val="32"/>
        </w:rPr>
        <w:t>。</w:t>
      </w:r>
      <w:r>
        <w:rPr>
          <w:rFonts w:ascii="FangSong_GB2312" w:eastAsia="FangSong_GB2312" w:hAnsi="FangSong_GB2312" w:cs="FangSong_GB2312"/>
          <w:kern w:val="0"/>
          <w:sz w:val="32"/>
          <w:szCs w:val="32"/>
        </w:rPr>
        <w:t>2025年公务用车购置0辆</w:t>
      </w:r>
      <w:r>
        <w:rPr>
          <w:rFonts w:ascii="FangSong_GB2312" w:eastAsia="FangSong_GB2312" w:hAnsi="FangSong_GB2312" w:cs="FangSong_GB2312"/>
          <w:kern w:val="0"/>
          <w:sz w:val="32"/>
          <w:szCs w:val="32"/>
        </w:rPr>
        <w:t>。</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公务用车运行费支出0万元，与全年预算数持平，</w:t>
      </w:r>
      <w:r>
        <w:rPr>
          <w:rFonts w:ascii="FangSong_GB2312" w:eastAsia="FangSong_GB2312" w:hAnsi="FangSong_GB2312" w:cs="FangSong_GB2312"/>
          <w:spacing w:val="0"/>
          <w:kern w:val="0"/>
          <w:sz w:val="32"/>
          <w:szCs w:val="32"/>
        </w:rPr>
        <w:t>与上年决算数持平。</w:t>
      </w:r>
      <w:r>
        <w:rPr>
          <w:rFonts w:ascii="FangSong_GB2312" w:eastAsia="FangSong_GB2312" w:hAnsi="FangSong_GB2312" w:cs="FangSong_GB2312"/>
          <w:spacing w:val="0"/>
          <w:kern w:val="0"/>
          <w:sz w:val="32"/>
          <w:szCs w:val="32"/>
        </w:rPr>
        <w:t>截至2025年12月31日，本部门公务用车保有量为0辆。</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（三）公务接待费支出0万元，与全年预算数持平，</w:t>
      </w:r>
      <w:r>
        <w:rPr>
          <w:rFonts w:ascii="FangSong_GB2312" w:eastAsia="FangSong_GB2312" w:hAnsi="FangSong_GB2312" w:cs="FangSong_GB2312"/>
          <w:spacing w:val="0"/>
          <w:kern w:val="0"/>
          <w:sz w:val="32"/>
          <w:szCs w:val="32"/>
        </w:rPr>
        <w:t>较上年减少1.33万元，下降100.00%。</w:t>
      </w:r>
      <w:r>
        <w:rPr>
          <w:rFonts w:ascii="FangSong_GB2312" w:eastAsia="FangSong_GB2312" w:hAnsi="FangSong_GB2312" w:cs="FangSong_GB2312"/>
          <w:spacing w:val="0"/>
          <w:kern w:val="0"/>
          <w:sz w:val="32"/>
          <w:szCs w:val="32"/>
        </w:rPr>
        <w:t>主要是本年度没有接待客人。。累计接待0批次、0人次。</w:t>
      </w:r>
    </w:p>
    <w:p>
      <w:pPr>
        <w:pStyle w:val="Heading3"/>
        <w:keepNext w:val="0"/>
        <w:keepLines w:val="0"/>
        <w:spacing w:before="100" w:after="100" w:line="560" w:lineRule="atLeast"/>
        <w:ind w:left="100" w:right="100" w:firstLine="640" w:firstLineChars="0"/>
        <w:rPr>
          <w:rFonts w:ascii="Times New Roman" w:eastAsia="Times New Roman" w:hAnsi="Times New Roman" w:cs="Times New Roman"/>
          <w:b/>
          <w:bCs/>
          <w:kern w:val="0"/>
          <w:sz w:val="28"/>
          <w:szCs w:val="28"/>
        </w:rPr>
      </w:pPr>
      <w:bookmarkStart w:id="24" w:name="_Toc256000076"/>
      <w:r>
        <w:rPr>
          <w:rFonts w:ascii="SimHei" w:eastAsia="SimHei" w:hAnsi="SimHei" w:cs="SimHei"/>
          <w:b w:val="0"/>
          <w:bCs w:val="0"/>
          <w:spacing w:val="0"/>
        </w:rPr>
        <w:t>八、预算绩效情况说明</w:t>
      </w:r>
      <w:bookmarkEnd w:id="24"/>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根据全面实施预算绩效管理要求，本部门组织对2025年度2个项目实施单位自评。</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对2个项目实施部门评价，分别是信访维稳基金、专项业务费等项目，涉及财政拨款资金共计41万元，评价结果等次为“优”“良”“中”“差”的项目分别是2个、0个、0个、0个。（《项目支出绩效评价报告》详见附件1）</w:t>
      </w:r>
    </w:p>
    <w:p>
      <w:pPr>
        <w:pStyle w:val="Heading3"/>
        <w:keepNext w:val="0"/>
        <w:keepLines w:val="0"/>
        <w:spacing w:before="100" w:after="100" w:line="560" w:lineRule="atLeast"/>
        <w:ind w:left="100" w:right="100" w:firstLine="640" w:firstLineChars="0"/>
        <w:rPr>
          <w:rFonts w:ascii="Times New Roman" w:eastAsia="Times New Roman" w:hAnsi="Times New Roman" w:cs="Times New Roman"/>
          <w:b/>
          <w:bCs/>
          <w:kern w:val="0"/>
          <w:sz w:val="28"/>
          <w:szCs w:val="28"/>
        </w:rPr>
      </w:pPr>
      <w:bookmarkStart w:id="25" w:name="_Toc256000077"/>
      <w:r>
        <w:rPr>
          <w:rFonts w:ascii="SimHei" w:eastAsia="SimHei" w:hAnsi="SimHei" w:cs="SimHei"/>
          <w:b w:val="0"/>
          <w:bCs w:val="0"/>
          <w:spacing w:val="0"/>
        </w:rPr>
        <w:t>九、其他重要事项说明</w:t>
      </w:r>
      <w:bookmarkEnd w:id="25"/>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楷体_GB2312" w:eastAsia="楷体_GB2312" w:hAnsi="楷体_GB2312" w:cs="楷体_GB2312"/>
          <w:b/>
          <w:bCs/>
          <w:spacing w:val="0"/>
          <w:kern w:val="0"/>
          <w:sz w:val="32"/>
          <w:szCs w:val="32"/>
        </w:rPr>
        <w:t>（一）机关运行经费</w:t>
      </w:r>
      <w:r>
        <w:rPr>
          <w:rFonts w:ascii="楷体_GB2312" w:eastAsia="楷体_GB2312" w:hAnsi="楷体_GB2312" w:cs="楷体_GB2312"/>
          <w:b/>
          <w:bCs/>
          <w:spacing w:val="0"/>
          <w:kern w:val="0"/>
          <w:sz w:val="32"/>
          <w:szCs w:val="32"/>
        </w:rPr>
        <w:t> </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2025年度机关运行经费支出27.62万元，比上年决算数增加4.03万元，</w:t>
      </w:r>
      <w:r>
        <w:rPr>
          <w:rFonts w:ascii="FangSong_GB2312" w:eastAsia="FangSong_GB2312" w:hAnsi="FangSong_GB2312" w:cs="FangSong_GB2312"/>
          <w:spacing w:val="0"/>
          <w:kern w:val="0"/>
          <w:sz w:val="32"/>
          <w:szCs w:val="32"/>
        </w:rPr>
        <w:t>增长</w:t>
      </w:r>
      <w:r>
        <w:rPr>
          <w:rFonts w:ascii="FangSong_GB2312" w:eastAsia="FangSong_GB2312" w:hAnsi="FangSong_GB2312" w:cs="FangSong_GB2312"/>
          <w:spacing w:val="0"/>
          <w:kern w:val="0"/>
          <w:sz w:val="32"/>
          <w:szCs w:val="32"/>
        </w:rPr>
        <w:t>17.10%，主要原因是:机构和并，经费开支增加。。</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楷体_GB2312" w:eastAsia="楷体_GB2312" w:hAnsi="楷体_GB2312" w:cs="楷体_GB2312"/>
          <w:b/>
          <w:bCs/>
          <w:spacing w:val="0"/>
          <w:kern w:val="0"/>
          <w:sz w:val="32"/>
          <w:szCs w:val="32"/>
        </w:rPr>
        <w:t>（二）政府采购情况</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本部门2025年度政府采购支出总额2.90万元，其中：政府采购货物支出2.90万元、政府采购工程支出0万元、政府采购服务支出0万元。授予中小企业合同金额2.90万元，占政府采购支出总额的100.00%，其中：授予小微企业合同金额2.90万元，占授予中小企业合同金额的100.00%；货物采购授予中小企业合同金额占货物支出金额的100%，工程采购授予中小企业合同金额占工程支出金额的0%，服务采购授予中小企业合同金额占服务支出金额的0%。</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楷体_GB2312" w:eastAsia="楷体_GB2312" w:hAnsi="楷体_GB2312" w:cs="楷体_GB2312"/>
          <w:b/>
          <w:bCs/>
          <w:spacing w:val="0"/>
          <w:kern w:val="0"/>
          <w:sz w:val="32"/>
          <w:szCs w:val="32"/>
        </w:rPr>
        <w:t>（三）国有资产占用使用情况</w:t>
      </w:r>
      <w:r>
        <w:rPr>
          <w:rFonts w:ascii="楷体_GB2312" w:eastAsia="楷体_GB2312" w:hAnsi="楷体_GB2312" w:cs="楷体_GB2312"/>
          <w:b/>
          <w:bCs/>
          <w:spacing w:val="0"/>
          <w:kern w:val="0"/>
          <w:sz w:val="32"/>
          <w:szCs w:val="32"/>
        </w:rPr>
        <w:t> </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FangSong_GB2312" w:eastAsia="FangSong_GB2312" w:hAnsi="FangSong_GB2312" w:cs="FangSong_GB2312"/>
          <w:spacing w:val="0"/>
          <w:kern w:val="0"/>
          <w:sz w:val="32"/>
          <w:szCs w:val="32"/>
        </w:rPr>
        <w:t>截至2025年12月31日，本部门共有车辆0 辆，其中：副部（省）级以上领导用车0辆、主要负责人用车0辆、机要通信用车0辆、应急保障用车0辆、执法执勤用车0辆、特种专业技术用车0辆、离退休干部服务用车0辆、其他用车0辆，其他用车主要是0；单价100万元（含）以上设备（不含车辆）0台（套）。 </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p>
    <w:p>
      <w:pPr>
        <w:sectPr>
          <w:footerReference w:type="default" r:id="rId20"/>
          <w:type w:val="nextPage"/>
          <w:pgSz w:w="11906" w:h="16838"/>
          <w:pgMar w:right="720" w:left="720" w:header="720" w:footer="720"/>
          <w:cols w:space="720"/>
        </w:sectPr>
      </w:pPr>
    </w:p>
    <w:p>
      <w:pPr>
        <w:widowControl/>
        <w:spacing w:before="240" w:after="240"/>
        <w:jc w:val="left"/>
        <w:rPr>
          <w:rFonts w:ascii="Times New Roman" w:eastAsia="Times New Roman" w:hAnsi="Times New Roman" w:cs="Times New Roman"/>
          <w:vanish/>
          <w:kern w:val="0"/>
          <w:sz w:val="24"/>
        </w:rPr>
      </w:pPr>
      <w:r>
        <w:rPr>
          <w:rFonts w:ascii="Times New Roman" w:eastAsia="Times New Roman" w:hAnsi="Times New Roman" w:cs="Times New Roman"/>
          <w:vanish/>
          <w:kern w:val="0"/>
          <w:sz w:val="24"/>
        </w:rPr>
        <w:t>word page break</w:t>
      </w:r>
    </w:p>
    <w:p>
      <w:pPr>
        <w:pStyle w:val="Heading3"/>
        <w:keepNext w:val="0"/>
        <w:keepLines w:val="0"/>
        <w:spacing w:before="100" w:after="100" w:line="240" w:lineRule="auto"/>
        <w:ind w:left="100" w:right="100" w:firstLine="640" w:firstLineChars="0"/>
        <w:rPr>
          <w:rFonts w:ascii="Times New Roman" w:eastAsia="Times New Roman" w:hAnsi="Times New Roman" w:cs="Times New Roman"/>
          <w:b/>
          <w:bCs/>
          <w:kern w:val="0"/>
          <w:sz w:val="28"/>
          <w:szCs w:val="28"/>
        </w:rPr>
      </w:pPr>
      <w:r>
        <w:rPr>
          <w:rFonts w:ascii="Times New Roman" w:eastAsia="Times New Roman" w:hAnsi="Times New Roman" w:cs="Times New Roman"/>
          <w:b/>
          <w:spacing w:val="0"/>
          <w:sz w:val="56"/>
          <w:szCs w:val="56"/>
        </w:rPr>
        <w:t> </w:t>
      </w:r>
    </w:p>
    <w:p>
      <w:pPr>
        <w:widowControl/>
        <w:spacing w:before="240" w:after="240"/>
        <w:jc w:val="left"/>
        <w:rPr>
          <w:rFonts w:ascii="Times New Roman" w:eastAsia="Times New Roman" w:hAnsi="Times New Roman" w:cs="Times New Roman"/>
          <w:kern w:val="0"/>
          <w:sz w:val="24"/>
        </w:rPr>
      </w:pP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p>
    <w:p>
      <w:pPr>
        <w:pStyle w:val="Heading2"/>
        <w:keepNext w:val="0"/>
        <w:keepLines w:val="0"/>
        <w:spacing w:before="100" w:after="100" w:line="240" w:lineRule="auto"/>
        <w:ind w:left="100" w:right="100" w:firstLine="0" w:firstLineChars="0"/>
        <w:jc w:val="center"/>
        <w:rPr>
          <w:rFonts w:ascii="Times New Roman" w:eastAsia="Times New Roman" w:hAnsi="Times New Roman" w:cs="Times New Roman"/>
          <w:b/>
          <w:bCs/>
          <w:kern w:val="0"/>
          <w:sz w:val="36"/>
          <w:szCs w:val="36"/>
        </w:rPr>
      </w:pPr>
      <w:bookmarkStart w:id="26" w:name="_Toc256000079"/>
      <w:r>
        <w:rPr>
          <w:rFonts w:ascii="SimHei" w:eastAsia="SimHei" w:hAnsi="SimHei" w:cs="SimHei"/>
          <w:b w:val="0"/>
          <w:bCs w:val="0"/>
          <w:spacing w:val="0"/>
          <w:sz w:val="56"/>
          <w:szCs w:val="56"/>
        </w:rPr>
        <w:t>第四部分</w:t>
      </w:r>
      <w:r>
        <w:rPr>
          <w:rFonts w:ascii="SimHei" w:eastAsia="SimHei" w:hAnsi="SimHei" w:cs="SimHei"/>
          <w:b w:val="0"/>
          <w:bCs w:val="0"/>
          <w:spacing w:val="0"/>
          <w:sz w:val="56"/>
          <w:szCs w:val="56"/>
        </w:rPr>
        <w:br/>
      </w:r>
      <w:r>
        <w:rPr>
          <w:rFonts w:ascii="SimHei" w:eastAsia="SimHei" w:hAnsi="SimHei" w:cs="SimHei"/>
          <w:b w:val="0"/>
          <w:bCs w:val="0"/>
          <w:spacing w:val="0"/>
          <w:sz w:val="56"/>
          <w:szCs w:val="56"/>
        </w:rPr>
        <w:t>名词解释</w:t>
      </w:r>
      <w:bookmarkEnd w:id="26"/>
    </w:p>
    <w:p>
      <w:pPr>
        <w:pStyle w:val="MsoNormal"/>
        <w:widowControl/>
        <w:spacing w:before="100" w:after="100"/>
        <w:ind w:left="100" w:right="100" w:firstLine="0"/>
        <w:jc w:val="center"/>
        <w:rPr>
          <w:rFonts w:ascii="Times New Roman" w:eastAsia="Times New Roman" w:hAnsi="Times New Roman" w:cs="Times New Roman"/>
          <w:kern w:val="0"/>
          <w:sz w:val="24"/>
        </w:rPr>
      </w:pPr>
    </w:p>
    <w:p>
      <w:pPr>
        <w:sectPr>
          <w:footerReference w:type="default" r:id="rId21"/>
          <w:type w:val="nextPage"/>
          <w:pgSz w:w="11906" w:h="16838"/>
          <w:pgMar w:right="720" w:left="720" w:header="720" w:footer="720"/>
          <w:cols w:space="720"/>
        </w:sectPr>
      </w:pPr>
    </w:p>
    <w:p>
      <w:pPr>
        <w:widowControl/>
        <w:spacing w:before="240" w:after="240"/>
        <w:jc w:val="left"/>
        <w:rPr>
          <w:rFonts w:ascii="Times New Roman" w:eastAsia="Times New Roman" w:hAnsi="Times New Roman" w:cs="Times New Roman"/>
          <w:vanish/>
          <w:kern w:val="0"/>
          <w:sz w:val="24"/>
        </w:rPr>
      </w:pPr>
      <w:r>
        <w:rPr>
          <w:rFonts w:ascii="Times New Roman" w:eastAsia="Times New Roman" w:hAnsi="Times New Roman" w:cs="Times New Roman"/>
          <w:vanish/>
          <w:kern w:val="0"/>
          <w:sz w:val="24"/>
        </w:rPr>
        <w:t>word page break</w:t>
      </w:r>
    </w:p>
    <w:p>
      <w:pPr>
        <w:widowControl/>
        <w:spacing w:before="240" w:after="240"/>
        <w:jc w:val="left"/>
        <w:rPr>
          <w:rFonts w:ascii="Times New Roman" w:eastAsia="Times New Roman" w:hAnsi="Times New Roman" w:cs="Times New Roman"/>
          <w:kern w:val="0"/>
          <w:sz w:val="24"/>
        </w:rPr>
      </w:pP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楷体_GB2312" w:eastAsia="楷体_GB2312" w:hAnsi="楷体_GB2312" w:cs="楷体_GB2312"/>
          <w:b/>
          <w:bCs/>
          <w:spacing w:val="0"/>
          <w:kern w:val="0"/>
          <w:sz w:val="32"/>
          <w:szCs w:val="32"/>
        </w:rPr>
        <w:t>一、财政拨款收入：</w:t>
      </w:r>
      <w:r>
        <w:rPr>
          <w:rFonts w:ascii="FangSong_GB2312" w:eastAsia="FangSong_GB2312" w:hAnsi="FangSong_GB2312" w:cs="FangSong_GB2312"/>
          <w:spacing w:val="0"/>
          <w:kern w:val="0"/>
          <w:sz w:val="32"/>
          <w:szCs w:val="32"/>
        </w:rPr>
        <w:t>指单位从本级财政部门取得的财政预算资金，包括一般公共预算财政拨款、政府性基金预算财政拨款和国有资本经营预算财政拨款。</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楷体_GB2312" w:eastAsia="楷体_GB2312" w:hAnsi="楷体_GB2312" w:cs="楷体_GB2312"/>
          <w:b/>
          <w:bCs/>
          <w:spacing w:val="0"/>
          <w:kern w:val="0"/>
          <w:sz w:val="32"/>
          <w:szCs w:val="32"/>
        </w:rPr>
        <w:t>二、事业收入：</w:t>
      </w:r>
      <w:r>
        <w:rPr>
          <w:rFonts w:ascii="FangSong_GB2312" w:eastAsia="FangSong_GB2312" w:hAnsi="FangSong_GB2312" w:cs="FangSong_GB2312"/>
          <w:spacing w:val="0"/>
          <w:kern w:val="0"/>
          <w:sz w:val="32"/>
          <w:szCs w:val="32"/>
        </w:rPr>
        <w:t>指事业单位开展专业业务活动及辅助活动所取得的收入。</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楷体_GB2312" w:eastAsia="楷体_GB2312" w:hAnsi="楷体_GB2312" w:cs="楷体_GB2312"/>
          <w:b/>
          <w:bCs/>
          <w:spacing w:val="0"/>
          <w:kern w:val="0"/>
          <w:sz w:val="32"/>
          <w:szCs w:val="32"/>
        </w:rPr>
        <w:t>三、经营收入：</w:t>
      </w:r>
      <w:r>
        <w:rPr>
          <w:rFonts w:ascii="FangSong_GB2312" w:eastAsia="FangSong_GB2312" w:hAnsi="FangSong_GB2312" w:cs="FangSong_GB2312"/>
          <w:spacing w:val="0"/>
          <w:kern w:val="0"/>
          <w:sz w:val="32"/>
          <w:szCs w:val="32"/>
        </w:rPr>
        <w:t>指事业单位在专业业务活动及其辅助活动之外开展非独立核算经营活动取得的收入。</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楷体_GB2312" w:eastAsia="楷体_GB2312" w:hAnsi="楷体_GB2312" w:cs="楷体_GB2312"/>
          <w:b/>
          <w:bCs/>
          <w:spacing w:val="0"/>
          <w:kern w:val="0"/>
          <w:sz w:val="32"/>
          <w:szCs w:val="32"/>
        </w:rPr>
        <w:t>四、其他收入：</w:t>
      </w:r>
      <w:r>
        <w:rPr>
          <w:rFonts w:ascii="FangSong_GB2312" w:eastAsia="FangSong_GB2312" w:hAnsi="FangSong_GB2312" w:cs="FangSong_GB2312"/>
          <w:kern w:val="0"/>
          <w:sz w:val="32"/>
          <w:szCs w:val="32"/>
        </w:rPr>
        <w:t>指除上述</w:t>
      </w:r>
      <w:r>
        <w:rPr>
          <w:rFonts w:ascii="FangSong_GB2312" w:eastAsia="FangSong_GB2312" w:hAnsi="FangSong_GB2312" w:cs="FangSong_GB2312"/>
          <w:kern w:val="0"/>
          <w:sz w:val="32"/>
          <w:szCs w:val="32"/>
        </w:rPr>
        <w:t>“</w:t>
      </w:r>
      <w:r>
        <w:rPr>
          <w:rFonts w:ascii="FangSong_GB2312" w:eastAsia="FangSong_GB2312" w:hAnsi="FangSong_GB2312" w:cs="FangSong_GB2312"/>
          <w:kern w:val="0"/>
          <w:sz w:val="32"/>
          <w:szCs w:val="32"/>
        </w:rPr>
        <w:t>财政拨款收入</w:t>
      </w:r>
      <w:r>
        <w:rPr>
          <w:rFonts w:ascii="FangSong_GB2312" w:eastAsia="FangSong_GB2312" w:hAnsi="FangSong_GB2312" w:cs="FangSong_GB2312"/>
          <w:kern w:val="0"/>
          <w:sz w:val="32"/>
          <w:szCs w:val="32"/>
        </w:rPr>
        <w:t>”“</w:t>
      </w:r>
      <w:r>
        <w:rPr>
          <w:rFonts w:ascii="FangSong_GB2312" w:eastAsia="FangSong_GB2312" w:hAnsi="FangSong_GB2312" w:cs="FangSong_GB2312"/>
          <w:kern w:val="0"/>
          <w:sz w:val="32"/>
          <w:szCs w:val="32"/>
        </w:rPr>
        <w:t>事业收入</w:t>
      </w:r>
      <w:r>
        <w:rPr>
          <w:rFonts w:ascii="FangSong_GB2312" w:eastAsia="FangSong_GB2312" w:hAnsi="FangSong_GB2312" w:cs="FangSong_GB2312"/>
          <w:kern w:val="0"/>
          <w:sz w:val="32"/>
          <w:szCs w:val="32"/>
        </w:rPr>
        <w:t>”</w:t>
      </w:r>
      <w:r>
        <w:rPr>
          <w:rFonts w:ascii="FangSong_GB2312" w:eastAsia="FangSong_GB2312" w:hAnsi="FangSong_GB2312" w:cs="FangSong_GB2312"/>
          <w:kern w:val="0"/>
          <w:szCs w:val="21"/>
        </w:rPr>
        <w:t> </w:t>
      </w:r>
      <w:r>
        <w:rPr>
          <w:rFonts w:ascii="FangSong_GB2312" w:eastAsia="FangSong_GB2312" w:hAnsi="FangSong_GB2312" w:cs="FangSong_GB2312"/>
          <w:kern w:val="0"/>
          <w:sz w:val="32"/>
          <w:szCs w:val="32"/>
        </w:rPr>
        <w:t>“上级补助收入”“附属单位上缴收入”</w:t>
      </w:r>
      <w:r>
        <w:rPr>
          <w:rFonts w:ascii="FangSong_GB2312" w:eastAsia="FangSong_GB2312" w:hAnsi="FangSong_GB2312" w:cs="FangSong_GB2312"/>
          <w:kern w:val="0"/>
          <w:sz w:val="32"/>
          <w:szCs w:val="32"/>
        </w:rPr>
        <w:t>“</w:t>
      </w:r>
      <w:r>
        <w:rPr>
          <w:rFonts w:ascii="FangSong_GB2312" w:eastAsia="FangSong_GB2312" w:hAnsi="FangSong_GB2312" w:cs="FangSong_GB2312"/>
          <w:kern w:val="0"/>
          <w:sz w:val="32"/>
          <w:szCs w:val="32"/>
        </w:rPr>
        <w:t>经营收入</w:t>
      </w:r>
      <w:r>
        <w:rPr>
          <w:rFonts w:ascii="FangSong_GB2312" w:eastAsia="FangSong_GB2312" w:hAnsi="FangSong_GB2312" w:cs="FangSong_GB2312"/>
          <w:kern w:val="0"/>
          <w:sz w:val="32"/>
          <w:szCs w:val="32"/>
        </w:rPr>
        <w:t>”</w:t>
      </w:r>
      <w:r>
        <w:rPr>
          <w:rFonts w:ascii="FangSong_GB2312" w:eastAsia="FangSong_GB2312" w:hAnsi="FangSong_GB2312" w:cs="FangSong_GB2312"/>
          <w:kern w:val="0"/>
          <w:sz w:val="32"/>
          <w:szCs w:val="32"/>
        </w:rPr>
        <w:t>等以外取得的各项收入。主要是事业单位固定资产出租收入</w:t>
      </w:r>
      <w:r>
        <w:rPr>
          <w:rFonts w:ascii="FangSong_GB2312" w:eastAsia="FangSong_GB2312" w:hAnsi="FangSong_GB2312" w:cs="FangSong_GB2312"/>
          <w:kern w:val="0"/>
          <w:sz w:val="32"/>
          <w:szCs w:val="32"/>
        </w:rPr>
        <w:t>等。</w:t>
      </w:r>
    </w:p>
    <w:p>
      <w:pPr>
        <w:pStyle w:val="MsoNormal"/>
        <w:widowControl/>
        <w:spacing w:before="100" w:after="100" w:line="560" w:lineRule="atLeast"/>
        <w:ind w:left="100" w:right="100" w:firstLine="640"/>
        <w:jc w:val="left"/>
        <w:rPr>
          <w:rFonts w:ascii="Times New Roman" w:eastAsia="Times New Roman" w:hAnsi="Times New Roman" w:cs="Times New Roman"/>
          <w:kern w:val="0"/>
          <w:sz w:val="24"/>
        </w:rPr>
      </w:pPr>
      <w:r>
        <w:rPr>
          <w:rFonts w:ascii="楷体_GB2312" w:eastAsia="楷体_GB2312" w:hAnsi="楷体_GB2312" w:cs="楷体_GB2312"/>
          <w:b/>
          <w:bCs/>
          <w:spacing w:val="0"/>
          <w:kern w:val="0"/>
          <w:sz w:val="32"/>
          <w:szCs w:val="32"/>
        </w:rPr>
        <w:t>五、使用非财政拨款结余（含专用结余）</w:t>
      </w:r>
      <w:r>
        <w:rPr>
          <w:rFonts w:ascii="楷体_GB2312" w:eastAsia="楷体_GB2312" w:hAnsi="楷体_GB2312" w:cs="楷体_GB2312"/>
          <w:b/>
          <w:bCs/>
          <w:kern w:val="0"/>
          <w:sz w:val="24"/>
        </w:rPr>
        <w:t>：</w:t>
      </w:r>
      <w:r>
        <w:rPr>
          <w:rFonts w:ascii="FangSong_GB2312" w:eastAsia="FangSong_GB2312" w:hAnsi="FangSong_GB2312" w:cs="FangSong_GB2312"/>
          <w:kern w:val="0"/>
          <w:sz w:val="32"/>
          <w:szCs w:val="32"/>
        </w:rPr>
        <w:t>指事业单位</w:t>
      </w:r>
      <w:r>
        <w:rPr>
          <w:rFonts w:ascii="FangSong_GB2312" w:eastAsia="FangSong_GB2312" w:hAnsi="FangSong_GB2312" w:cs="FangSong_GB2312"/>
          <w:kern w:val="0"/>
          <w:sz w:val="32"/>
          <w:szCs w:val="32"/>
        </w:rPr>
        <w:t>按照预算管理要求</w:t>
      </w:r>
      <w:r>
        <w:rPr>
          <w:rFonts w:ascii="FangSong_GB2312" w:eastAsia="FangSong_GB2312" w:hAnsi="FangSong_GB2312" w:cs="FangSong_GB2312"/>
          <w:kern w:val="0"/>
          <w:sz w:val="32"/>
          <w:szCs w:val="32"/>
        </w:rPr>
        <w:t>使用非财政拨款结余弥补当年收支差额的金额</w:t>
      </w:r>
      <w:r>
        <w:rPr>
          <w:rFonts w:ascii="FangSong_GB2312" w:eastAsia="FangSong_GB2312" w:hAnsi="FangSong_GB2312" w:cs="FangSong_GB2312"/>
          <w:kern w:val="0"/>
          <w:sz w:val="32"/>
          <w:szCs w:val="32"/>
        </w:rPr>
        <w:t>，以及使用专用结余安排支出的金额</w:t>
      </w:r>
      <w:r>
        <w:rPr>
          <w:rFonts w:ascii="FangSong_GB2312" w:eastAsia="FangSong_GB2312" w:hAnsi="FangSong_GB2312" w:cs="FangSong_GB2312"/>
          <w:kern w:val="0"/>
          <w:sz w:val="32"/>
          <w:szCs w:val="32"/>
        </w:rPr>
        <w:t>。</w:t>
      </w:r>
    </w:p>
    <w:p>
      <w:pPr>
        <w:pStyle w:val="MsoNormal"/>
        <w:widowControl/>
        <w:spacing w:before="240" w:after="100" w:line="560" w:lineRule="atLeast"/>
        <w:ind w:left="100" w:right="100" w:firstLine="640"/>
        <w:jc w:val="left"/>
        <w:rPr>
          <w:rFonts w:ascii="Times New Roman" w:eastAsia="Times New Roman" w:hAnsi="Times New Roman" w:cs="Times New Roman"/>
          <w:kern w:val="0"/>
          <w:sz w:val="24"/>
        </w:rPr>
      </w:pPr>
      <w:r>
        <w:rPr>
          <w:rFonts w:ascii="楷体_GB2312" w:eastAsia="楷体_GB2312" w:hAnsi="楷体_GB2312" w:cs="楷体_GB2312"/>
          <w:b/>
          <w:bCs/>
          <w:spacing w:val="0"/>
          <w:kern w:val="0"/>
          <w:sz w:val="32"/>
          <w:szCs w:val="32"/>
        </w:rPr>
        <w:t>六、年初结转和结余：</w:t>
      </w:r>
      <w:r>
        <w:rPr>
          <w:rFonts w:ascii="FangSong_GB2312" w:eastAsia="FangSong_GB2312" w:hAnsi="FangSong_GB2312" w:cs="FangSong_GB2312"/>
          <w:spacing w:val="0"/>
          <w:kern w:val="0"/>
          <w:sz w:val="32"/>
          <w:szCs w:val="32"/>
        </w:rPr>
        <w:t>指单位以前年度尚未完成、结转到本年仍按原规定用途继续使用的资金，或项目已完成等产生的结余资金。</w:t>
      </w:r>
    </w:p>
    <w:p>
      <w:pPr>
        <w:pStyle w:val="p"/>
        <w:widowControl/>
        <w:spacing w:before="100" w:after="100" w:line="560" w:lineRule="atLeast"/>
        <w:ind w:left="100" w:right="100" w:firstLine="640"/>
        <w:jc w:val="left"/>
        <w:rPr>
          <w:rFonts w:ascii="Times New Roman" w:eastAsia="Times New Roman" w:hAnsi="Times New Roman" w:cs="Times New Roman"/>
          <w:kern w:val="0"/>
          <w:sz w:val="24"/>
        </w:rPr>
      </w:pPr>
      <w:r>
        <w:rPr>
          <w:rFonts w:ascii="楷体_GB2312" w:eastAsia="楷体_GB2312" w:hAnsi="楷体_GB2312" w:cs="楷体_GB2312"/>
          <w:b/>
          <w:bCs/>
          <w:spacing w:val="0"/>
          <w:kern w:val="0"/>
          <w:sz w:val="32"/>
          <w:szCs w:val="32"/>
        </w:rPr>
        <w:t>七、结余分配：</w:t>
      </w:r>
      <w:r>
        <w:rPr>
          <w:rFonts w:ascii="FangSong_GB2312" w:eastAsia="FangSong_GB2312" w:hAnsi="FangSong_GB2312" w:cs="FangSong_GB2312"/>
          <w:spacing w:val="0"/>
          <w:kern w:val="0"/>
          <w:sz w:val="32"/>
          <w:szCs w:val="32"/>
        </w:rPr>
        <w:t>指事业单位按照会计制度规定缴纳的所得税、提取的专用结余以及转入非财政拨款结余的金额等。</w:t>
      </w:r>
    </w:p>
    <w:p>
      <w:pPr>
        <w:pStyle w:val="p"/>
        <w:widowControl/>
        <w:spacing w:before="100" w:after="100" w:line="560" w:lineRule="atLeast"/>
        <w:ind w:left="100" w:right="100" w:firstLine="640"/>
        <w:jc w:val="left"/>
        <w:rPr>
          <w:rFonts w:ascii="Times New Roman" w:eastAsia="Times New Roman" w:hAnsi="Times New Roman" w:cs="Times New Roman"/>
          <w:kern w:val="0"/>
          <w:sz w:val="24"/>
        </w:rPr>
      </w:pPr>
      <w:r>
        <w:rPr>
          <w:rFonts w:ascii="楷体_GB2312" w:eastAsia="楷体_GB2312" w:hAnsi="楷体_GB2312" w:cs="楷体_GB2312"/>
          <w:b/>
          <w:bCs/>
          <w:spacing w:val="0"/>
          <w:kern w:val="0"/>
          <w:sz w:val="32"/>
          <w:szCs w:val="32"/>
        </w:rPr>
        <w:t>八、年末结转和结余：</w:t>
      </w:r>
      <w:r>
        <w:rPr>
          <w:rFonts w:ascii="FangSong_GB2312" w:eastAsia="FangSong_GB2312" w:hAnsi="FangSong_GB2312" w:cs="FangSong_GB2312"/>
          <w:spacing w:val="0"/>
          <w:kern w:val="0"/>
          <w:sz w:val="32"/>
          <w:szCs w:val="32"/>
        </w:rPr>
        <w:t>指单位按有关规定结转到下年或以后年度继续使用的资金，或项目已完成等产生的结余资金。</w:t>
      </w:r>
    </w:p>
    <w:p>
      <w:pPr>
        <w:pStyle w:val="p"/>
        <w:widowControl/>
        <w:spacing w:before="100" w:after="100" w:line="560" w:lineRule="atLeast"/>
        <w:ind w:left="100" w:right="100" w:firstLine="640"/>
        <w:jc w:val="left"/>
        <w:rPr>
          <w:rFonts w:ascii="Times New Roman" w:eastAsia="Times New Roman" w:hAnsi="Times New Roman" w:cs="Times New Roman"/>
          <w:kern w:val="0"/>
          <w:sz w:val="24"/>
        </w:rPr>
      </w:pPr>
      <w:r>
        <w:rPr>
          <w:rFonts w:ascii="楷体_GB2312" w:eastAsia="楷体_GB2312" w:hAnsi="楷体_GB2312" w:cs="楷体_GB2312"/>
          <w:b/>
          <w:bCs/>
          <w:spacing w:val="0"/>
          <w:kern w:val="0"/>
          <w:sz w:val="32"/>
          <w:szCs w:val="32"/>
        </w:rPr>
        <w:t>九、基本支出：</w:t>
      </w:r>
      <w:r>
        <w:rPr>
          <w:rFonts w:ascii="FangSong_GB2312" w:eastAsia="FangSong_GB2312" w:hAnsi="FangSong_GB2312" w:cs="FangSong_GB2312"/>
          <w:spacing w:val="0"/>
          <w:kern w:val="0"/>
          <w:sz w:val="32"/>
          <w:szCs w:val="32"/>
        </w:rPr>
        <w:t>指为保障机构正常运转、完成日常工作任务而发生的人员支出和公用支出。</w:t>
      </w:r>
    </w:p>
    <w:p>
      <w:pPr>
        <w:pStyle w:val="p"/>
        <w:widowControl/>
        <w:spacing w:before="100" w:after="100" w:line="560" w:lineRule="atLeast"/>
        <w:ind w:left="100" w:right="100" w:firstLine="640"/>
        <w:jc w:val="left"/>
        <w:rPr>
          <w:rFonts w:ascii="Times New Roman" w:eastAsia="Times New Roman" w:hAnsi="Times New Roman" w:cs="Times New Roman"/>
          <w:kern w:val="0"/>
          <w:sz w:val="24"/>
        </w:rPr>
      </w:pPr>
      <w:r>
        <w:rPr>
          <w:rFonts w:ascii="楷体_GB2312" w:eastAsia="楷体_GB2312" w:hAnsi="楷体_GB2312" w:cs="楷体_GB2312"/>
          <w:b/>
          <w:bCs/>
          <w:spacing w:val="0"/>
          <w:kern w:val="0"/>
          <w:sz w:val="32"/>
          <w:szCs w:val="32"/>
        </w:rPr>
        <w:t>十、项目支出：</w:t>
      </w:r>
      <w:r>
        <w:rPr>
          <w:rFonts w:ascii="FangSong_GB2312" w:eastAsia="FangSong_GB2312" w:hAnsi="FangSong_GB2312" w:cs="FangSong_GB2312"/>
          <w:spacing w:val="0"/>
          <w:kern w:val="0"/>
          <w:sz w:val="32"/>
          <w:szCs w:val="32"/>
        </w:rPr>
        <w:t>指在基本支出之外为完成特定行政任务和事业发展目标所发生的支出。</w:t>
      </w:r>
    </w:p>
    <w:p>
      <w:pPr>
        <w:pStyle w:val="p"/>
        <w:widowControl/>
        <w:spacing w:before="100" w:after="100" w:line="560" w:lineRule="atLeast"/>
        <w:ind w:left="100" w:right="100" w:firstLine="640"/>
        <w:jc w:val="left"/>
        <w:rPr>
          <w:rFonts w:ascii="Times New Roman" w:eastAsia="Times New Roman" w:hAnsi="Times New Roman" w:cs="Times New Roman"/>
          <w:kern w:val="0"/>
          <w:sz w:val="24"/>
        </w:rPr>
      </w:pPr>
      <w:r>
        <w:rPr>
          <w:rFonts w:ascii="楷体_GB2312" w:eastAsia="楷体_GB2312" w:hAnsi="楷体_GB2312" w:cs="楷体_GB2312"/>
          <w:b/>
          <w:bCs/>
          <w:spacing w:val="0"/>
          <w:kern w:val="0"/>
          <w:sz w:val="32"/>
          <w:szCs w:val="32"/>
        </w:rPr>
        <w:t>十一、经营支出：</w:t>
      </w:r>
      <w:r>
        <w:rPr>
          <w:rFonts w:ascii="FangSong_GB2312" w:eastAsia="FangSong_GB2312" w:hAnsi="FangSong_GB2312" w:cs="FangSong_GB2312"/>
          <w:spacing w:val="0"/>
          <w:kern w:val="0"/>
          <w:sz w:val="32"/>
          <w:szCs w:val="32"/>
        </w:rPr>
        <w:t>指事业单位在专业业务活动及其辅助活动之外开展非独立核算经营活动发生的支出。</w:t>
      </w:r>
    </w:p>
    <w:p>
      <w:pPr>
        <w:pStyle w:val="p"/>
        <w:widowControl/>
        <w:spacing w:before="100" w:after="100" w:line="560" w:lineRule="atLeast"/>
        <w:ind w:left="100" w:right="100" w:firstLine="640"/>
        <w:jc w:val="left"/>
        <w:rPr>
          <w:rFonts w:ascii="Times New Roman" w:eastAsia="Times New Roman" w:hAnsi="Times New Roman" w:cs="Times New Roman"/>
          <w:kern w:val="0"/>
          <w:sz w:val="24"/>
        </w:rPr>
      </w:pPr>
      <w:r>
        <w:rPr>
          <w:rFonts w:ascii="楷体_GB2312" w:eastAsia="楷体_GB2312" w:hAnsi="楷体_GB2312" w:cs="楷体_GB2312"/>
          <w:b/>
          <w:bCs/>
          <w:spacing w:val="0"/>
          <w:kern w:val="0"/>
          <w:sz w:val="32"/>
          <w:szCs w:val="32"/>
        </w:rPr>
        <w:t>十二、“三公”经费：</w:t>
      </w:r>
      <w:r>
        <w:rPr>
          <w:rFonts w:ascii="FangSong_GB2312" w:eastAsia="FangSong_GB2312" w:hAnsi="FangSong_GB2312" w:cs="FangSong_GB2312"/>
          <w:kern w:val="0"/>
          <w:sz w:val="32"/>
          <w:szCs w:val="32"/>
        </w:rPr>
        <w:t>纳入本级财政预决算管理的</w:t>
      </w:r>
      <w:r>
        <w:rPr>
          <w:rFonts w:ascii="FangSong_GB2312" w:eastAsia="FangSong_GB2312" w:hAnsi="FangSong_GB2312" w:cs="FangSong_GB2312"/>
          <w:kern w:val="0"/>
          <w:sz w:val="32"/>
          <w:szCs w:val="32"/>
        </w:rPr>
        <w:t>“</w:t>
      </w:r>
      <w:r>
        <w:rPr>
          <w:rFonts w:ascii="FangSong_GB2312" w:eastAsia="FangSong_GB2312" w:hAnsi="FangSong_GB2312" w:cs="FangSong_GB2312"/>
          <w:kern w:val="0"/>
          <w:sz w:val="32"/>
          <w:szCs w:val="32"/>
        </w:rPr>
        <w:t>三公</w:t>
      </w:r>
      <w:r>
        <w:rPr>
          <w:rFonts w:ascii="FangSong_GB2312" w:eastAsia="FangSong_GB2312" w:hAnsi="FangSong_GB2312" w:cs="FangSong_GB2312"/>
          <w:kern w:val="0"/>
          <w:sz w:val="32"/>
          <w:szCs w:val="32"/>
        </w:rPr>
        <w:t>”</w:t>
      </w:r>
      <w:r>
        <w:rPr>
          <w:rFonts w:ascii="FangSong_GB2312" w:eastAsia="FangSong_GB2312" w:hAnsi="FangSong_GB2312" w:cs="FangSong_GB2312"/>
          <w:kern w:val="0"/>
          <w:sz w:val="32"/>
          <w:szCs w:val="32"/>
        </w:rPr>
        <w:t>经费，是指本级部门用一般公共预算财政拨款安排的因公出国（境）费</w:t>
      </w:r>
      <w:r>
        <w:rPr>
          <w:rFonts w:ascii="FangSong_GB2312" w:eastAsia="FangSong_GB2312" w:hAnsi="FangSong_GB2312" w:cs="FangSong_GB2312"/>
          <w:kern w:val="0"/>
          <w:sz w:val="32"/>
          <w:szCs w:val="32"/>
        </w:rPr>
        <w:t>用</w:t>
      </w:r>
      <w:r>
        <w:rPr>
          <w:rFonts w:ascii="FangSong_GB2312" w:eastAsia="FangSong_GB2312" w:hAnsi="FangSong_GB2312" w:cs="FangSong_GB2312"/>
          <w:kern w:val="0"/>
          <w:sz w:val="32"/>
          <w:szCs w:val="32"/>
        </w:rPr>
        <w:t>、公务用车购置及运行费和公务接待费。其中，因公出国（境）费</w:t>
      </w:r>
      <w:r>
        <w:rPr>
          <w:rFonts w:ascii="FangSong_GB2312" w:eastAsia="FangSong_GB2312" w:hAnsi="FangSong_GB2312" w:cs="FangSong_GB2312"/>
          <w:kern w:val="0"/>
          <w:sz w:val="32"/>
          <w:szCs w:val="32"/>
        </w:rPr>
        <w:t>用</w:t>
      </w:r>
      <w:r>
        <w:rPr>
          <w:rFonts w:ascii="FangSong_GB2312" w:eastAsia="FangSong_GB2312" w:hAnsi="FangSong_GB2312" w:cs="FangSong_GB2312"/>
          <w:kern w:val="0"/>
          <w:sz w:val="32"/>
          <w:szCs w:val="32"/>
        </w:rPr>
        <w:t>反映单位公务出国（境）的国际旅费、国外城市间交通费、住宿费、伙食费、培训费、公杂费等支出；公务用车购置及运行费反映单位公务用车车辆购置支出（含车辆购置税</w:t>
      </w:r>
      <w:r>
        <w:rPr>
          <w:rFonts w:ascii="FangSong_GB2312" w:eastAsia="FangSong_GB2312" w:hAnsi="FangSong_GB2312" w:cs="FangSong_GB2312"/>
          <w:kern w:val="0"/>
          <w:sz w:val="32"/>
          <w:szCs w:val="32"/>
        </w:rPr>
        <w:t>、牌照费</w:t>
      </w:r>
      <w:r>
        <w:rPr>
          <w:rFonts w:ascii="FangSong_GB2312" w:eastAsia="FangSong_GB2312" w:hAnsi="FangSong_GB2312" w:cs="FangSong_GB2312"/>
          <w:kern w:val="0"/>
          <w:sz w:val="32"/>
          <w:szCs w:val="32"/>
        </w:rPr>
        <w:t>）及</w:t>
      </w:r>
      <w:r>
        <w:rPr>
          <w:rFonts w:ascii="FangSong_GB2312" w:eastAsia="FangSong_GB2312" w:hAnsi="FangSong_GB2312" w:cs="FangSong_GB2312"/>
          <w:kern w:val="0"/>
          <w:sz w:val="32"/>
          <w:szCs w:val="32"/>
        </w:rPr>
        <w:t>按规定保留的公务用车</w:t>
      </w:r>
      <w:r>
        <w:rPr>
          <w:rFonts w:ascii="FangSong_GB2312" w:eastAsia="FangSong_GB2312" w:hAnsi="FangSong_GB2312" w:cs="FangSong_GB2312"/>
          <w:kern w:val="0"/>
          <w:sz w:val="32"/>
          <w:szCs w:val="32"/>
        </w:rPr>
        <w:t>燃料费、</w:t>
      </w:r>
      <w:r>
        <w:rPr>
          <w:rFonts w:ascii="FangSong_GB2312" w:eastAsia="FangSong_GB2312" w:hAnsi="FangSong_GB2312" w:cs="FangSong_GB2312"/>
          <w:kern w:val="0"/>
          <w:sz w:val="32"/>
          <w:szCs w:val="32"/>
        </w:rPr>
        <w:t>新能源汽车充电费、</w:t>
      </w:r>
      <w:r>
        <w:rPr>
          <w:rFonts w:ascii="FangSong_GB2312" w:eastAsia="FangSong_GB2312" w:hAnsi="FangSong_GB2312" w:cs="FangSong_GB2312"/>
          <w:kern w:val="0"/>
          <w:sz w:val="32"/>
          <w:szCs w:val="32"/>
        </w:rPr>
        <w:t>维修费、过桥过路费、保险费、安全奖励费用等支出；公务接待费反映单位按规定开支的各类公务接待（含外宾接待）支出。</w:t>
      </w:r>
      <w:r>
        <w:rPr>
          <w:rFonts w:ascii="仿宋" w:eastAsia="仿宋" w:hAnsi="仿宋" w:cs="仿宋"/>
          <w:kern w:val="0"/>
          <w:sz w:val="32"/>
          <w:szCs w:val="32"/>
        </w:rPr>
        <w:t> </w:t>
      </w:r>
    </w:p>
    <w:p>
      <w:pPr>
        <w:pStyle w:val="p"/>
        <w:widowControl/>
        <w:spacing w:before="100" w:after="100" w:line="560" w:lineRule="atLeast"/>
        <w:ind w:left="100" w:right="100" w:firstLine="640"/>
        <w:jc w:val="left"/>
        <w:rPr>
          <w:rFonts w:ascii="Times New Roman" w:eastAsia="Times New Roman" w:hAnsi="Times New Roman" w:cs="Times New Roman"/>
          <w:kern w:val="0"/>
          <w:sz w:val="24"/>
        </w:rPr>
      </w:pPr>
      <w:r>
        <w:rPr>
          <w:rFonts w:ascii="楷体_GB2312" w:eastAsia="楷体_GB2312" w:hAnsi="楷体_GB2312" w:cs="楷体_GB2312"/>
          <w:b/>
          <w:bCs/>
          <w:spacing w:val="0"/>
          <w:kern w:val="0"/>
          <w:sz w:val="32"/>
          <w:szCs w:val="32"/>
        </w:rPr>
        <w:t>十三、机关运行经费：</w:t>
      </w:r>
      <w:r>
        <w:rPr>
          <w:rFonts w:ascii="FangSong_GB2312" w:eastAsia="FangSong_GB2312" w:hAnsi="FangSong_GB2312" w:cs="FangSong_GB2312"/>
          <w:kern w:val="0"/>
          <w:sz w:val="32"/>
          <w:szCs w:val="32"/>
        </w:rPr>
        <w:t>反映</w:t>
      </w:r>
      <w:r>
        <w:rPr>
          <w:rFonts w:ascii="FangSong_GB2312" w:eastAsia="FangSong_GB2312" w:hAnsi="FangSong_GB2312" w:cs="FangSong_GB2312"/>
          <w:kern w:val="0"/>
          <w:sz w:val="32"/>
          <w:szCs w:val="32"/>
        </w:rPr>
        <w:t>行政单位（含参照公务员法管理的事业单位）</w:t>
      </w:r>
      <w:r>
        <w:rPr>
          <w:rFonts w:ascii="FangSong_GB2312" w:eastAsia="FangSong_GB2312" w:hAnsi="FangSong_GB2312" w:cs="FangSong_GB2312"/>
          <w:kern w:val="0"/>
          <w:sz w:val="32"/>
          <w:szCs w:val="32"/>
        </w:rPr>
        <w:t>财政拨款基本支出中的公用经费支出</w:t>
      </w:r>
      <w:r>
        <w:rPr>
          <w:rFonts w:ascii="FangSong_GB2312" w:eastAsia="FangSong_GB2312" w:hAnsi="FangSong_GB2312" w:cs="FangSong_GB2312"/>
          <w:kern w:val="0"/>
          <w:sz w:val="32"/>
          <w:szCs w:val="32"/>
        </w:rPr>
        <w:t>，包括办公及印刷费、邮电费、差旅费、会议</w:t>
      </w:r>
      <w:r>
        <w:rPr>
          <w:rFonts w:ascii="FangSong_GB2312" w:eastAsia="FangSong_GB2312" w:hAnsi="FangSong_GB2312" w:cs="FangSong_GB2312"/>
          <w:kern w:val="0"/>
          <w:sz w:val="32"/>
          <w:szCs w:val="32"/>
        </w:rPr>
        <w:t>费、福利费、日常维修费、专用材料及一般设备购置费、办公用房水电费、办公用房取暖费、办公用房物业管理费、公务用车运行维护费以及其他费用。</w:t>
      </w:r>
    </w:p>
    <w:p>
      <w:pPr>
        <w:pStyle w:val="MsoNormal"/>
        <w:widowControl/>
        <w:spacing w:before="240" w:after="240"/>
        <w:ind w:firstLine="643"/>
        <w:jc w:val="left"/>
        <w:rPr>
          <w:rFonts w:ascii="Times New Roman" w:eastAsia="Times New Roman" w:hAnsi="Times New Roman" w:cs="Times New Roman"/>
          <w:kern w:val="0"/>
          <w:sz w:val="24"/>
        </w:rPr>
      </w:pPr>
    </w:p>
    <w:p>
      <w:pPr>
        <w:pStyle w:val="MsoNormal"/>
        <w:widowControl/>
        <w:spacing w:before="100" w:after="100"/>
        <w:ind w:left="100" w:right="100" w:firstLine="640"/>
        <w:jc w:val="left"/>
        <w:rPr>
          <w:rFonts w:ascii="Times New Roman" w:eastAsia="Times New Roman" w:hAnsi="Times New Roman" w:cs="Times New Roman"/>
          <w:kern w:val="0"/>
          <w:sz w:val="24"/>
        </w:rPr>
      </w:pPr>
      <w:r>
        <w:rPr>
          <w:rFonts w:ascii="仿宋" w:eastAsia="仿宋" w:hAnsi="仿宋" w:cs="仿宋"/>
          <w:spacing w:val="0"/>
          <w:kern w:val="0"/>
          <w:sz w:val="32"/>
          <w:szCs w:val="32"/>
        </w:rPr>
        <w:t> </w:t>
      </w:r>
    </w:p>
    <w:p>
      <w:pPr>
        <w:sectPr>
          <w:footerReference w:type="default" r:id="rId22"/>
          <w:type w:val="nextPage"/>
          <w:pgSz w:w="11906" w:h="16838"/>
          <w:pgMar w:right="720" w:left="720" w:header="720" w:footer="720"/>
          <w:cols w:space="720"/>
        </w:sectPr>
      </w:pPr>
    </w:p>
    <w:p>
      <w:pPr>
        <w:widowControl/>
        <w:spacing w:before="240" w:after="240"/>
        <w:jc w:val="left"/>
        <w:rPr>
          <w:rFonts w:ascii="Times New Roman" w:eastAsia="Times New Roman" w:hAnsi="Times New Roman" w:cs="Times New Roman"/>
          <w:vanish/>
          <w:kern w:val="0"/>
          <w:sz w:val="24"/>
        </w:rPr>
      </w:pPr>
      <w:r>
        <w:rPr>
          <w:rFonts w:ascii="Times New Roman" w:eastAsia="Times New Roman" w:hAnsi="Times New Roman" w:cs="Times New Roman"/>
          <w:vanish/>
          <w:kern w:val="0"/>
          <w:sz w:val="24"/>
        </w:rPr>
        <w:t>word page break</w:t>
      </w:r>
    </w:p>
    <w:p>
      <w:pPr>
        <w:widowControl/>
        <w:spacing w:before="240" w:after="240"/>
        <w:jc w:val="left"/>
        <w:rPr>
          <w:rFonts w:ascii="Times New Roman" w:eastAsia="Times New Roman" w:hAnsi="Times New Roman" w:cs="Times New Roman"/>
          <w:kern w:val="0"/>
          <w:sz w:val="24"/>
        </w:rPr>
      </w:pPr>
    </w:p>
    <w:p>
      <w:pPr>
        <w:pStyle w:val="MsoNormal"/>
        <w:widowControl/>
        <w:spacing w:before="100" w:after="100"/>
        <w:ind w:left="100" w:right="100" w:firstLine="640"/>
        <w:jc w:val="left"/>
        <w:rPr>
          <w:rFonts w:ascii="Times New Roman" w:eastAsia="Times New Roman" w:hAnsi="Times New Roman" w:cs="Times New Roman"/>
          <w:kern w:val="0"/>
          <w:sz w:val="24"/>
        </w:rPr>
      </w:pPr>
    </w:p>
    <w:p>
      <w:pPr>
        <w:pStyle w:val="MsoNormal"/>
        <w:widowControl/>
        <w:spacing w:before="100" w:after="100"/>
        <w:ind w:left="100" w:right="100" w:firstLine="640"/>
        <w:jc w:val="left"/>
        <w:rPr>
          <w:rFonts w:ascii="Times New Roman" w:eastAsia="Times New Roman" w:hAnsi="Times New Roman" w:cs="Times New Roman"/>
          <w:kern w:val="0"/>
          <w:sz w:val="24"/>
        </w:rPr>
      </w:pPr>
    </w:p>
    <w:p>
      <w:pPr>
        <w:pStyle w:val="MsoNormal"/>
        <w:widowControl/>
        <w:spacing w:before="100" w:after="100"/>
        <w:ind w:left="100" w:right="100" w:firstLine="640"/>
        <w:jc w:val="left"/>
        <w:rPr>
          <w:rFonts w:ascii="Times New Roman" w:eastAsia="Times New Roman" w:hAnsi="Times New Roman" w:cs="Times New Roman"/>
          <w:kern w:val="0"/>
          <w:sz w:val="24"/>
        </w:rPr>
      </w:pPr>
    </w:p>
    <w:p>
      <w:pPr>
        <w:pStyle w:val="MsoNormal"/>
        <w:widowControl/>
        <w:spacing w:before="100" w:after="100"/>
        <w:ind w:left="100" w:right="100" w:firstLine="640"/>
        <w:jc w:val="left"/>
        <w:rPr>
          <w:rFonts w:ascii="Times New Roman" w:eastAsia="Times New Roman" w:hAnsi="Times New Roman" w:cs="Times New Roman"/>
          <w:kern w:val="0"/>
          <w:sz w:val="24"/>
        </w:rPr>
      </w:pPr>
    </w:p>
    <w:p>
      <w:pPr>
        <w:pStyle w:val="MsoNormal"/>
        <w:widowControl/>
        <w:spacing w:before="100" w:after="100"/>
        <w:ind w:left="100" w:right="100" w:firstLine="640"/>
        <w:jc w:val="left"/>
        <w:rPr>
          <w:rFonts w:ascii="Times New Roman" w:eastAsia="Times New Roman" w:hAnsi="Times New Roman" w:cs="Times New Roman"/>
          <w:kern w:val="0"/>
          <w:sz w:val="24"/>
        </w:rPr>
      </w:pPr>
    </w:p>
    <w:p>
      <w:pPr>
        <w:pStyle w:val="MsoNormal"/>
        <w:widowControl/>
        <w:spacing w:before="100" w:after="100"/>
        <w:ind w:left="100" w:right="100" w:firstLine="640"/>
        <w:jc w:val="left"/>
        <w:rPr>
          <w:rFonts w:ascii="Times New Roman" w:eastAsia="Times New Roman" w:hAnsi="Times New Roman" w:cs="Times New Roman"/>
          <w:kern w:val="0"/>
          <w:sz w:val="24"/>
        </w:rPr>
      </w:pPr>
    </w:p>
    <w:p>
      <w:pPr>
        <w:pStyle w:val="MsoNormal"/>
        <w:widowControl/>
        <w:spacing w:before="100" w:after="100"/>
        <w:ind w:left="100" w:right="100" w:firstLine="640"/>
        <w:jc w:val="left"/>
        <w:rPr>
          <w:rFonts w:ascii="Times New Roman" w:eastAsia="Times New Roman" w:hAnsi="Times New Roman" w:cs="Times New Roman"/>
          <w:kern w:val="0"/>
          <w:sz w:val="24"/>
        </w:rPr>
      </w:pPr>
    </w:p>
    <w:p>
      <w:pPr>
        <w:pStyle w:val="MsoNormal"/>
        <w:widowControl/>
        <w:spacing w:before="100" w:after="100"/>
        <w:ind w:left="100" w:right="100" w:firstLine="640"/>
        <w:jc w:val="left"/>
        <w:rPr>
          <w:rFonts w:ascii="Times New Roman" w:eastAsia="Times New Roman" w:hAnsi="Times New Roman" w:cs="Times New Roman"/>
          <w:kern w:val="0"/>
          <w:sz w:val="24"/>
        </w:rPr>
      </w:pPr>
    </w:p>
    <w:p>
      <w:pPr>
        <w:pStyle w:val="MsoNormal"/>
        <w:widowControl/>
        <w:spacing w:before="100" w:after="100"/>
        <w:ind w:left="100" w:right="100" w:firstLine="640"/>
        <w:jc w:val="left"/>
        <w:rPr>
          <w:rFonts w:ascii="Times New Roman" w:eastAsia="Times New Roman" w:hAnsi="Times New Roman" w:cs="Times New Roman"/>
          <w:kern w:val="0"/>
          <w:sz w:val="24"/>
        </w:rPr>
      </w:pPr>
    </w:p>
    <w:p>
      <w:pPr>
        <w:pStyle w:val="MsoNormal"/>
        <w:widowControl/>
        <w:spacing w:before="100" w:after="100"/>
        <w:ind w:left="100" w:right="100" w:firstLine="640"/>
        <w:jc w:val="left"/>
        <w:rPr>
          <w:rFonts w:ascii="Times New Roman" w:eastAsia="Times New Roman" w:hAnsi="Times New Roman" w:cs="Times New Roman"/>
          <w:kern w:val="0"/>
          <w:sz w:val="24"/>
        </w:rPr>
      </w:pPr>
    </w:p>
    <w:p>
      <w:pPr>
        <w:pStyle w:val="MsoNormal"/>
        <w:widowControl/>
        <w:spacing w:before="100" w:after="100"/>
        <w:ind w:left="100" w:right="100" w:firstLine="640"/>
        <w:jc w:val="left"/>
        <w:rPr>
          <w:rFonts w:ascii="Times New Roman" w:eastAsia="Times New Roman" w:hAnsi="Times New Roman" w:cs="Times New Roman"/>
          <w:kern w:val="0"/>
          <w:sz w:val="24"/>
        </w:rPr>
      </w:pPr>
    </w:p>
    <w:p>
      <w:pPr>
        <w:pStyle w:val="MsoNormal"/>
        <w:widowControl/>
        <w:spacing w:before="100" w:after="100"/>
        <w:ind w:left="100" w:right="100" w:firstLine="640"/>
        <w:jc w:val="left"/>
        <w:rPr>
          <w:rFonts w:ascii="Times New Roman" w:eastAsia="Times New Roman" w:hAnsi="Times New Roman" w:cs="Times New Roman"/>
          <w:kern w:val="0"/>
          <w:sz w:val="24"/>
        </w:rPr>
      </w:pPr>
      <w:r>
        <w:rPr>
          <w:rFonts w:ascii="SimSun" w:eastAsia="SimSun" w:hAnsi="SimSun" w:cs="SimSun"/>
          <w:spacing w:val="0"/>
          <w:kern w:val="0"/>
          <w:sz w:val="56"/>
          <w:szCs w:val="56"/>
        </w:rPr>
        <w:t> </w:t>
      </w:r>
    </w:p>
    <w:p>
      <w:pPr>
        <w:pStyle w:val="Heading2"/>
        <w:keepNext w:val="0"/>
        <w:keepLines w:val="0"/>
        <w:spacing w:before="100" w:after="100" w:line="240" w:lineRule="auto"/>
        <w:ind w:left="100" w:right="100" w:firstLine="0" w:firstLineChars="0"/>
        <w:jc w:val="center"/>
        <w:rPr>
          <w:rFonts w:ascii="Times New Roman" w:eastAsia="Times New Roman" w:hAnsi="Times New Roman" w:cs="Times New Roman"/>
          <w:b/>
          <w:bCs/>
          <w:kern w:val="0"/>
          <w:sz w:val="36"/>
          <w:szCs w:val="36"/>
        </w:rPr>
      </w:pPr>
      <w:bookmarkStart w:id="27" w:name="_Toc256000080"/>
      <w:r>
        <w:rPr>
          <w:rFonts w:ascii="SimHei" w:eastAsia="SimHei" w:hAnsi="SimHei" w:cs="SimHei"/>
          <w:b w:val="0"/>
          <w:bCs w:val="0"/>
          <w:spacing w:val="0"/>
          <w:sz w:val="56"/>
          <w:szCs w:val="56"/>
        </w:rPr>
        <w:t>第五部分</w:t>
      </w:r>
      <w:r>
        <w:rPr>
          <w:rFonts w:ascii="SimHei" w:eastAsia="SimHei" w:hAnsi="SimHei" w:cs="SimHei"/>
          <w:b w:val="0"/>
          <w:bCs w:val="0"/>
          <w:spacing w:val="0"/>
          <w:sz w:val="56"/>
          <w:szCs w:val="56"/>
        </w:rPr>
        <w:br/>
      </w:r>
      <w:r>
        <w:rPr>
          <w:rFonts w:ascii="SimHei" w:eastAsia="SimHei" w:hAnsi="SimHei" w:cs="SimHei"/>
          <w:b w:val="0"/>
          <w:bCs w:val="0"/>
          <w:spacing w:val="0"/>
          <w:sz w:val="56"/>
          <w:szCs w:val="56"/>
        </w:rPr>
        <w:t>附件</w:t>
      </w:r>
      <w:bookmarkEnd w:id="27"/>
    </w:p>
    <w:p>
      <w:pPr>
        <w:pStyle w:val="MsoNormal"/>
        <w:widowControl/>
        <w:spacing w:before="100" w:after="100"/>
        <w:ind w:left="100" w:right="100" w:firstLine="0"/>
        <w:jc w:val="center"/>
        <w:rPr>
          <w:rFonts w:ascii="Times New Roman" w:eastAsia="Times New Roman" w:hAnsi="Times New Roman" w:cs="Times New Roman"/>
          <w:kern w:val="0"/>
          <w:sz w:val="24"/>
        </w:rPr>
      </w:pPr>
    </w:p>
    <w:p>
      <w:pPr>
        <w:sectPr>
          <w:footerReference w:type="default" r:id="rId23"/>
          <w:type w:val="nextPage"/>
          <w:pgSz w:w="11906" w:h="16838"/>
          <w:pgMar w:right="720" w:left="720" w:header="720" w:footer="720"/>
          <w:cols w:space="720"/>
        </w:sectPr>
      </w:pPr>
    </w:p>
    <w:p>
      <w:pPr>
        <w:widowControl/>
        <w:spacing w:before="240" w:after="240"/>
        <w:jc w:val="left"/>
        <w:rPr>
          <w:rFonts w:ascii="Times New Roman" w:eastAsia="Times New Roman" w:hAnsi="Times New Roman" w:cs="Times New Roman"/>
          <w:vanish/>
          <w:kern w:val="0"/>
          <w:sz w:val="24"/>
        </w:rPr>
      </w:pPr>
      <w:r>
        <w:rPr>
          <w:rFonts w:ascii="Times New Roman" w:eastAsia="Times New Roman" w:hAnsi="Times New Roman" w:cs="Times New Roman"/>
          <w:vanish/>
          <w:kern w:val="0"/>
          <w:sz w:val="24"/>
        </w:rPr>
        <w:t>word page break</w:t>
      </w:r>
    </w:p>
    <w:p>
      <w:pPr>
        <w:widowControl/>
        <w:spacing w:before="240" w:after="240"/>
        <w:jc w:val="left"/>
        <w:rPr>
          <w:rFonts w:ascii="Times New Roman" w:eastAsia="Times New Roman" w:hAnsi="Times New Roman" w:cs="Times New Roman"/>
          <w:kern w:val="0"/>
          <w:sz w:val="24"/>
        </w:rPr>
      </w:pPr>
    </w:p>
    <w:p>
      <w:pPr>
        <w:pStyle w:val="15"/>
        <w:widowControl/>
        <w:spacing w:before="240" w:after="240" w:line="560" w:lineRule="atLeast"/>
        <w:ind w:firstLine="640"/>
        <w:jc w:val="left"/>
        <w:rPr>
          <w:rFonts w:ascii="Times New Roman" w:eastAsia="Times New Roman" w:hAnsi="Times New Roman" w:cs="Times New Roman"/>
          <w:kern w:val="0"/>
          <w:sz w:val="24"/>
        </w:rPr>
      </w:pPr>
      <w:r>
        <w:rPr>
          <w:rFonts w:ascii="SimHei" w:eastAsia="SimHei" w:hAnsi="SimHei" w:cs="SimHei"/>
          <w:kern w:val="0"/>
          <w:sz w:val="32"/>
          <w:szCs w:val="32"/>
        </w:rPr>
        <w:t>一、《项目支出绩效自评表》</w:t>
      </w:r>
    </w:p>
    <w:p>
      <w:pPr>
        <w:pStyle w:val="MsoNormal"/>
        <w:widowControl/>
        <w:spacing w:before="240" w:after="240"/>
        <w:jc w:val="center"/>
        <w:rPr>
          <w:rFonts w:ascii="Times New Roman" w:eastAsia="Times New Roman" w:hAnsi="Times New Roman" w:cs="Times New Roman"/>
          <w:kern w:val="0"/>
          <w:sz w:val="24"/>
        </w:rPr>
      </w:pPr>
      <w:r>
        <w:rPr>
          <w:rFonts w:ascii="SimSun" w:eastAsia="SimSun" w:hAnsi="SimSun" w:cs="SimSun"/>
          <w:b/>
          <w:bCs/>
          <w:kern w:val="0"/>
          <w:sz w:val="32"/>
          <w:szCs w:val="32"/>
        </w:rPr>
        <w:t>项目支出绩效自评表</w:t>
      </w:r>
    </w:p>
    <w:p>
      <w:pPr>
        <w:pStyle w:val="MsoNormal"/>
        <w:widowControl/>
        <w:spacing w:before="240" w:after="240"/>
        <w:jc w:val="center"/>
        <w:rPr>
          <w:rFonts w:ascii="Times New Roman" w:eastAsia="Times New Roman" w:hAnsi="Times New Roman" w:cs="Times New Roman"/>
          <w:kern w:val="0"/>
          <w:sz w:val="24"/>
        </w:rPr>
      </w:pPr>
      <w:r>
        <w:rPr>
          <w:rFonts w:ascii="SimSun" w:eastAsia="SimSun" w:hAnsi="SimSun" w:cs="SimSun"/>
          <w:kern w:val="0"/>
          <w:sz w:val="22"/>
          <w:szCs w:val="22"/>
        </w:rPr>
        <w:t>（2025年度）</w:t>
      </w:r>
    </w:p>
    <w:p>
      <w:pPr>
        <w:pageBreakBefore/>
      </w:pPr>
    </w:p>
    <w:tbl>
      <w:tblPr>
        <w:tblW w:w="10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834"/>
        <w:gridCol w:w="834"/>
        <w:gridCol w:w="834"/>
        <w:gridCol w:w="834"/>
        <w:gridCol w:w="833"/>
        <w:gridCol w:w="833"/>
        <w:gridCol w:w="833"/>
        <w:gridCol w:w="833"/>
        <w:gridCol w:w="833"/>
        <w:gridCol w:w="833"/>
        <w:gridCol w:w="833"/>
        <w:gridCol w:w="833"/>
      </w:tblGrid>
      <w:tr>
        <w:tblPrEx>
          <w:tblW w:w="10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Ex>
        <w:trPr>
          <w:cantSplit/>
          <w:tblHeader/>
        </w:trPr>
        <w:tc>
          <w:tcPr>
            <w:tcW w:w="833" w:type="dxa"/>
            <w:gridSpan w:val="12"/>
            <w:tcMar>
              <w:left w:w="108" w:type="dxa"/>
              <w:right w:w="108" w:type="dxa"/>
            </w:tcMar>
            <w:vAlign w:val="center"/>
          </w:tcPr>
          <w:p>
            <w:pPr>
              <w:spacing w:before="0" w:after="0" w:line="240" w:lineRule="auto"/>
              <w:jc w:val="center"/>
              <w:textAlignment w:val="center"/>
            </w:pPr>
            <w:r>
              <w:rPr>
                <w:rFonts w:ascii="黑体" w:eastAsia="黑体" w:hAnsi="黑体" w:cs="黑体"/>
                <w:b w:val="0"/>
                <w:sz w:val="32"/>
              </w:rPr>
              <w:t>专项资金绩效自评表</w:t>
            </w:r>
          </w:p>
        </w:tc>
      </w:tr>
      <w:tr>
        <w:tblPrEx>
          <w:tblW w:w="10000" w:type="dxa"/>
          <w:tblLayout w:type="fixed"/>
          <w:tblCellMar>
            <w:top w:w="0" w:type="dxa"/>
            <w:left w:w="108" w:type="dxa"/>
            <w:bottom w:w="0" w:type="dxa"/>
            <w:right w:w="108" w:type="dxa"/>
          </w:tblCellMar>
        </w:tblPrEx>
        <w:trPr>
          <w:cantSplit/>
          <w:tblHeader/>
        </w:trPr>
        <w:tc>
          <w:tcPr>
            <w:tcW w:w="833" w:type="dxa"/>
            <w:gridSpan w:val="12"/>
            <w:tcMar>
              <w:left w:w="108" w:type="dxa"/>
              <w:right w:w="108" w:type="dxa"/>
            </w:tcMar>
            <w:vAlign w:val="center"/>
          </w:tcPr>
          <w:p>
            <w:pPr>
              <w:spacing w:before="0" w:after="0" w:line="240" w:lineRule="auto"/>
              <w:jc w:val="center"/>
              <w:textAlignment w:val="center"/>
            </w:pPr>
            <w:r>
              <w:rPr>
                <w:rFonts w:ascii="宋体" w:eastAsia="宋体" w:hAnsi="宋体" w:cs="宋体"/>
                <w:sz w:val="24"/>
              </w:rPr>
              <w:t>（2025年度）</w:t>
            </w:r>
          </w:p>
        </w:tc>
      </w:tr>
      <w:tr>
        <w:tblPrEx>
          <w:tblW w:w="10000" w:type="dxa"/>
          <w:tblLayout w:type="fixed"/>
          <w:tblCellMar>
            <w:top w:w="0" w:type="dxa"/>
            <w:left w:w="108" w:type="dxa"/>
            <w:bottom w:w="0" w:type="dxa"/>
            <w:right w:w="108" w:type="dxa"/>
          </w:tblCellMar>
        </w:tblPrEx>
        <w:trPr>
          <w:cantSplit/>
          <w:tblHeader/>
        </w:trPr>
        <w:tc>
          <w:tcPr>
            <w:tcW w:w="833" w:type="dxa"/>
            <w:gridSpan w:val="3"/>
            <w:tcMar>
              <w:left w:w="108" w:type="dxa"/>
              <w:right w:w="108" w:type="dxa"/>
            </w:tcMar>
            <w:vAlign w:val="center"/>
          </w:tcPr>
          <w:p>
            <w:pPr>
              <w:spacing w:before="0" w:after="0" w:line="240" w:lineRule="auto"/>
              <w:jc w:val="center"/>
              <w:textAlignment w:val="center"/>
            </w:pPr>
            <w:r>
              <w:rPr>
                <w:rFonts w:ascii="宋体" w:eastAsia="宋体" w:hAnsi="宋体" w:cs="宋体"/>
                <w:sz w:val="24"/>
              </w:rPr>
              <w:t>专项名称</w:t>
            </w:r>
          </w:p>
        </w:tc>
        <w:tc>
          <w:tcPr>
            <w:tcW w:w="833" w:type="dxa"/>
            <w:gridSpan w:val="9"/>
            <w:tcMar>
              <w:left w:w="108" w:type="dxa"/>
              <w:right w:w="108" w:type="dxa"/>
            </w:tcMar>
            <w:vAlign w:val="center"/>
          </w:tcPr>
          <w:p>
            <w:pPr>
              <w:spacing w:before="0" w:after="0" w:line="240" w:lineRule="auto"/>
              <w:jc w:val="center"/>
              <w:textAlignment w:val="center"/>
            </w:pPr>
            <w:r>
              <w:rPr>
                <w:rFonts w:ascii="宋体" w:eastAsia="宋体" w:hAnsi="宋体" w:cs="宋体"/>
                <w:sz w:val="24"/>
              </w:rPr>
              <w:t>专项业务费</w:t>
            </w:r>
          </w:p>
        </w:tc>
      </w:tr>
      <w:tr>
        <w:tblPrEx>
          <w:tblW w:w="10000" w:type="dxa"/>
          <w:tblLayout w:type="fixed"/>
          <w:tblCellMar>
            <w:top w:w="0" w:type="dxa"/>
            <w:left w:w="108" w:type="dxa"/>
            <w:bottom w:w="0" w:type="dxa"/>
            <w:right w:w="108" w:type="dxa"/>
          </w:tblCellMar>
        </w:tblPrEx>
        <w:trPr>
          <w:cantSplit/>
          <w:tblHeader/>
        </w:trPr>
        <w:tc>
          <w:tcPr>
            <w:tcW w:w="833" w:type="dxa"/>
            <w:gridSpan w:val="3"/>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主管部门</w:t>
            </w:r>
          </w:p>
        </w:tc>
        <w:tc>
          <w:tcPr>
            <w:tcW w:w="833" w:type="dxa"/>
            <w:gridSpan w:val="3"/>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中共泰宁县委社会工作部</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实施单位</w:t>
            </w:r>
          </w:p>
        </w:tc>
        <w:tc>
          <w:tcPr>
            <w:tcW w:w="833" w:type="dxa"/>
            <w:gridSpan w:val="4"/>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中共泰宁县委社会工作部</w:t>
            </w:r>
          </w:p>
        </w:tc>
      </w:tr>
      <w:tr>
        <w:tblPrEx>
          <w:tblW w:w="10000" w:type="dxa"/>
          <w:tblLayout w:type="fixed"/>
          <w:tblCellMar>
            <w:top w:w="0" w:type="dxa"/>
            <w:left w:w="108" w:type="dxa"/>
            <w:bottom w:w="0" w:type="dxa"/>
            <w:right w:w="108" w:type="dxa"/>
          </w:tblCellMar>
        </w:tblPrEx>
        <w:trPr>
          <w:cantSplit/>
          <w:tblHeader/>
        </w:trPr>
        <w:tc>
          <w:tcPr>
            <w:tcW w:w="833" w:type="dxa"/>
            <w:gridSpan w:val="3"/>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项目概况</w:t>
            </w:r>
          </w:p>
        </w:tc>
        <w:tc>
          <w:tcPr>
            <w:tcW w:w="833" w:type="dxa"/>
            <w:gridSpan w:val="9"/>
            <w:tcMar>
              <w:left w:w="108" w:type="dxa"/>
              <w:right w:w="108" w:type="dxa"/>
            </w:tcMar>
            <w:vAlign w:val="center"/>
          </w:tcPr>
          <w:p>
            <w:pPr>
              <w:spacing w:before="0" w:after="0" w:line="240" w:lineRule="auto"/>
              <w:jc w:val="left"/>
              <w:textAlignment w:val="center"/>
            </w:pPr>
            <w:r>
              <w:rPr>
                <w:rFonts w:ascii="宋体" w:eastAsia="宋体" w:hAnsi="宋体" w:cs="宋体"/>
                <w:b w:val="0"/>
                <w:sz w:val="21"/>
              </w:rPr>
              <w:t>社会工作（信访维稳）工作经费</w:t>
            </w:r>
          </w:p>
        </w:tc>
      </w:tr>
      <w:tr>
        <w:tblPrEx>
          <w:tblW w:w="10000" w:type="dxa"/>
          <w:tblLayout w:type="fixed"/>
          <w:tblCellMar>
            <w:top w:w="0" w:type="dxa"/>
            <w:left w:w="108" w:type="dxa"/>
            <w:bottom w:w="0" w:type="dxa"/>
            <w:right w:w="108" w:type="dxa"/>
          </w:tblCellMar>
        </w:tblPrEx>
        <w:trPr>
          <w:cantSplit/>
          <w:tblHeader/>
        </w:trPr>
        <w:tc>
          <w:tcPr>
            <w:tcW w:w="833" w:type="dxa"/>
            <w:gridSpan w:val="3"/>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主要成效</w:t>
            </w:r>
          </w:p>
        </w:tc>
        <w:tc>
          <w:tcPr>
            <w:tcW w:w="833" w:type="dxa"/>
            <w:gridSpan w:val="9"/>
            <w:tcMar>
              <w:left w:w="108" w:type="dxa"/>
              <w:right w:w="108" w:type="dxa"/>
            </w:tcMar>
            <w:vAlign w:val="center"/>
          </w:tcPr>
          <w:p>
            <w:pPr>
              <w:spacing w:before="0" w:after="0" w:line="240" w:lineRule="auto"/>
              <w:jc w:val="left"/>
              <w:textAlignment w:val="center"/>
            </w:pPr>
            <w:r>
              <w:rPr>
                <w:rFonts w:ascii="宋体" w:eastAsia="宋体" w:hAnsi="宋体" w:cs="宋体"/>
                <w:b w:val="0"/>
                <w:sz w:val="21"/>
              </w:rPr>
              <w:t>坚决扛起政治责任，圆满完成中央巡视组移交我县的全部信访事项办理工作。中央巡视组共移交我县83件信访事项，总量为全市最少，实现及时受理率、按期反馈率、回访率均达100%。用心用情推动群众合理诉求实质性化解，合理、部分合理诉求的化解率在全市率先达100%。省委巡视组截至目前共移交我县3件信访事项，全市（县（市、区））巡视交办件数为全市最少。</w:t>
            </w:r>
          </w:p>
        </w:tc>
      </w:tr>
      <w:tr>
        <w:tblPrEx>
          <w:tblW w:w="10000" w:type="dxa"/>
          <w:tblLayout w:type="fixed"/>
          <w:tblCellMar>
            <w:top w:w="0" w:type="dxa"/>
            <w:left w:w="108" w:type="dxa"/>
            <w:bottom w:w="0" w:type="dxa"/>
            <w:right w:w="108" w:type="dxa"/>
          </w:tblCellMar>
        </w:tblPrEx>
        <w:trPr>
          <w:cantSplit/>
          <w:tblHeader/>
        </w:trPr>
        <w:tc>
          <w:tcPr>
            <w:tcW w:w="833" w:type="dxa"/>
            <w:vMerge w:val="restart"/>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项目资金(万元)</w:t>
            </w:r>
          </w:p>
        </w:tc>
        <w:tc>
          <w:tcPr>
            <w:tcW w:w="833" w:type="dxa"/>
            <w:gridSpan w:val="2"/>
            <w:tcMar>
              <w:left w:w="108" w:type="dxa"/>
              <w:right w:w="108" w:type="dxa"/>
            </w:tcMar>
            <w:vAlign w:val="center"/>
          </w:tcPr>
          <w:p>
            <w:pPr>
              <w:spacing w:before="0" w:after="0" w:line="240" w:lineRule="auto"/>
              <w:jc w:val="center"/>
              <w:textAlignment w:val="center"/>
            </w:pPr>
          </w:p>
        </w:tc>
        <w:tc>
          <w:tcPr>
            <w:tcW w:w="833"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年初预算数</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全年预算数</w:t>
            </w:r>
          </w:p>
        </w:tc>
        <w:tc>
          <w:tcPr>
            <w:tcW w:w="833"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全年执行数</w:t>
            </w:r>
          </w:p>
        </w:tc>
        <w:tc>
          <w:tcPr>
            <w:tcW w:w="833"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分值</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执行率（%）</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得分</w:t>
            </w:r>
          </w:p>
        </w:tc>
      </w:tr>
      <w:tr>
        <w:tblPrEx>
          <w:tblW w:w="10000" w:type="dxa"/>
          <w:tblLayout w:type="fixed"/>
          <w:tblCellMar>
            <w:top w:w="0" w:type="dxa"/>
            <w:left w:w="108" w:type="dxa"/>
            <w:bottom w:w="0" w:type="dxa"/>
            <w:right w:w="108" w:type="dxa"/>
          </w:tblCellMar>
        </w:tblPrEx>
        <w:trPr>
          <w:cantSplit/>
          <w:tblHeader/>
        </w:trPr>
        <w:tc>
          <w:tcPr>
            <w:tcW w:w="1310" w:type="dxa"/>
            <w:vMerge/>
            <w:tcMar>
              <w:left w:w="108" w:type="dxa"/>
              <w:right w:w="108" w:type="dxa"/>
            </w:tcMar>
          </w:tcP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年度资金总额</w:t>
            </w:r>
          </w:p>
        </w:tc>
        <w:tc>
          <w:tcPr>
            <w:tcW w:w="833"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32.00</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32.00</w:t>
            </w:r>
          </w:p>
        </w:tc>
        <w:tc>
          <w:tcPr>
            <w:tcW w:w="833"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32.00</w:t>
            </w:r>
          </w:p>
        </w:tc>
        <w:tc>
          <w:tcPr>
            <w:tcW w:w="833"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10</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100.00</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10</w:t>
            </w:r>
          </w:p>
        </w:tc>
      </w:tr>
      <w:tr>
        <w:tblPrEx>
          <w:tblW w:w="10000" w:type="dxa"/>
          <w:tblLayout w:type="fixed"/>
          <w:tblCellMar>
            <w:top w:w="0" w:type="dxa"/>
            <w:left w:w="108" w:type="dxa"/>
            <w:bottom w:w="0" w:type="dxa"/>
            <w:right w:w="108" w:type="dxa"/>
          </w:tblCellMar>
        </w:tblPrEx>
        <w:trPr>
          <w:cantSplit/>
          <w:tblHeader/>
        </w:trPr>
        <w:tc>
          <w:tcPr>
            <w:tcW w:w="1310" w:type="dxa"/>
            <w:vMerge/>
            <w:tcMar>
              <w:left w:w="108" w:type="dxa"/>
              <w:right w:w="108" w:type="dxa"/>
            </w:tcMar>
          </w:tcP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其中：当年财政拨款</w:t>
            </w:r>
          </w:p>
        </w:tc>
        <w:tc>
          <w:tcPr>
            <w:tcW w:w="833"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32.00</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32.00</w:t>
            </w:r>
          </w:p>
        </w:tc>
        <w:tc>
          <w:tcPr>
            <w:tcW w:w="833"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32.00</w:t>
            </w:r>
          </w:p>
        </w:tc>
        <w:tc>
          <w:tcPr>
            <w:tcW w:w="833"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99.99</w:t>
            </w:r>
          </w:p>
        </w:tc>
        <w:tc>
          <w:tcPr>
            <w:tcW w:w="833" w:type="dxa"/>
            <w:gridSpan w:val="2"/>
            <w:tcMar>
              <w:left w:w="108" w:type="dxa"/>
              <w:right w:w="108" w:type="dxa"/>
            </w:tcMar>
            <w:vAlign w:val="center"/>
          </w:tcPr>
          <w:p>
            <w:pPr>
              <w:spacing w:before="0" w:after="0" w:line="240" w:lineRule="auto"/>
              <w:jc w:val="center"/>
              <w:textAlignment w:val="center"/>
            </w:pPr>
          </w:p>
        </w:tc>
      </w:tr>
      <w:tr>
        <w:tblPrEx>
          <w:tblW w:w="10000" w:type="dxa"/>
          <w:tblLayout w:type="fixed"/>
          <w:tblCellMar>
            <w:top w:w="0" w:type="dxa"/>
            <w:left w:w="108" w:type="dxa"/>
            <w:bottom w:w="0" w:type="dxa"/>
            <w:right w:w="108" w:type="dxa"/>
          </w:tblCellMar>
        </w:tblPrEx>
        <w:trPr>
          <w:cantSplit/>
          <w:tblHeader/>
        </w:trPr>
        <w:tc>
          <w:tcPr>
            <w:tcW w:w="1310" w:type="dxa"/>
            <w:vMerge/>
            <w:tcMar>
              <w:left w:w="108" w:type="dxa"/>
              <w:right w:w="108" w:type="dxa"/>
            </w:tcMar>
          </w:tcP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其他资金</w:t>
            </w:r>
          </w:p>
        </w:tc>
        <w:tc>
          <w:tcPr>
            <w:tcW w:w="833"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0.00</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0.00</w:t>
            </w:r>
          </w:p>
        </w:tc>
        <w:tc>
          <w:tcPr>
            <w:tcW w:w="833" w:type="dxa"/>
            <w:gridSpan w:val="2"/>
            <w:tcMar>
              <w:left w:w="108" w:type="dxa"/>
              <w:right w:w="108" w:type="dxa"/>
            </w:tcMar>
            <w:vAlign w:val="center"/>
          </w:tcPr>
          <w:p>
            <w:pPr>
              <w:spacing w:before="0" w:after="0" w:line="240" w:lineRule="auto"/>
              <w:jc w:val="center"/>
              <w:textAlignment w:val="center"/>
            </w:pPr>
          </w:p>
        </w:tc>
      </w:tr>
      <w:tr>
        <w:tblPrEx>
          <w:tblW w:w="10000" w:type="dxa"/>
          <w:tblLayout w:type="fixed"/>
          <w:tblCellMar>
            <w:top w:w="0" w:type="dxa"/>
            <w:left w:w="108" w:type="dxa"/>
            <w:bottom w:w="0" w:type="dxa"/>
            <w:right w:w="108" w:type="dxa"/>
          </w:tblCellMar>
        </w:tblPrEx>
        <w:trPr>
          <w:cantSplit/>
          <w:tblHeader/>
        </w:trPr>
        <w:tc>
          <w:tcPr>
            <w:tcW w:w="1310" w:type="dxa"/>
            <w:vMerge/>
            <w:tcMar>
              <w:left w:w="108" w:type="dxa"/>
              <w:right w:w="108" w:type="dxa"/>
            </w:tcMar>
          </w:tcP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上年结转资金</w:t>
            </w:r>
          </w:p>
        </w:tc>
        <w:tc>
          <w:tcPr>
            <w:tcW w:w="833"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0.00</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0.00</w:t>
            </w:r>
          </w:p>
        </w:tc>
        <w:tc>
          <w:tcPr>
            <w:tcW w:w="833" w:type="dxa"/>
            <w:gridSpan w:val="2"/>
            <w:tcMar>
              <w:left w:w="108" w:type="dxa"/>
              <w:right w:w="108" w:type="dxa"/>
            </w:tcMar>
            <w:vAlign w:val="center"/>
          </w:tcPr>
          <w:p>
            <w:pPr>
              <w:spacing w:before="0" w:after="0" w:line="240" w:lineRule="auto"/>
              <w:jc w:val="center"/>
              <w:textAlignment w:val="center"/>
            </w:pPr>
          </w:p>
        </w:tc>
      </w:tr>
      <w:tr>
        <w:tblPrEx>
          <w:tblW w:w="10000" w:type="dxa"/>
          <w:tblLayout w:type="fixed"/>
          <w:tblCellMar>
            <w:top w:w="0" w:type="dxa"/>
            <w:left w:w="108" w:type="dxa"/>
            <w:bottom w:w="0" w:type="dxa"/>
            <w:right w:w="108" w:type="dxa"/>
          </w:tblCellMar>
        </w:tblPrEx>
        <w:trPr>
          <w:cantSplit/>
          <w:tblHeader/>
        </w:trPr>
        <w:tc>
          <w:tcPr>
            <w:tcW w:w="833" w:type="dxa"/>
            <w:vMerge w:val="restart"/>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年度总体目标</w:t>
            </w:r>
          </w:p>
        </w:tc>
        <w:tc>
          <w:tcPr>
            <w:tcW w:w="833" w:type="dxa"/>
            <w:gridSpan w:val="5"/>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预期目标</w:t>
            </w:r>
          </w:p>
        </w:tc>
        <w:tc>
          <w:tcPr>
            <w:tcW w:w="833" w:type="dxa"/>
            <w:gridSpan w:val="6"/>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实际完成情况</w:t>
            </w:r>
          </w:p>
        </w:tc>
      </w:tr>
      <w:tr>
        <w:tblPrEx>
          <w:tblW w:w="10000" w:type="dxa"/>
          <w:tblLayout w:type="fixed"/>
          <w:tblCellMar>
            <w:top w:w="0" w:type="dxa"/>
            <w:left w:w="108" w:type="dxa"/>
            <w:bottom w:w="0" w:type="dxa"/>
            <w:right w:w="108" w:type="dxa"/>
          </w:tblCellMar>
        </w:tblPrEx>
        <w:trPr>
          <w:cantSplit/>
          <w:tblHeader/>
        </w:trPr>
        <w:tc>
          <w:tcPr>
            <w:tcW w:w="1310" w:type="dxa"/>
            <w:vMerge/>
            <w:tcMar>
              <w:left w:w="108" w:type="dxa"/>
              <w:right w:w="108" w:type="dxa"/>
            </w:tcMar>
          </w:tcPr>
          <w:p/>
        </w:tc>
        <w:tc>
          <w:tcPr>
            <w:tcW w:w="833" w:type="dxa"/>
            <w:gridSpan w:val="5"/>
            <w:tcMar>
              <w:left w:w="108" w:type="dxa"/>
              <w:right w:w="108" w:type="dxa"/>
            </w:tcMar>
            <w:vAlign w:val="bottom"/>
          </w:tcPr>
          <w:p>
            <w:pPr>
              <w:spacing w:before="0" w:after="0" w:line="240" w:lineRule="auto"/>
              <w:jc w:val="left"/>
              <w:textAlignment w:val="center"/>
            </w:pPr>
            <w:r>
              <w:rPr>
                <w:rFonts w:ascii="宋体" w:eastAsia="宋体" w:hAnsi="宋体" w:cs="宋体"/>
                <w:b w:val="0"/>
                <w:sz w:val="21"/>
              </w:rPr>
              <w:t>信访维稳，社会工作者和志愿者服务等</w:t>
            </w:r>
          </w:p>
        </w:tc>
        <w:tc>
          <w:tcPr>
            <w:tcW w:w="833" w:type="dxa"/>
            <w:gridSpan w:val="6"/>
            <w:tcMar>
              <w:left w:w="108" w:type="dxa"/>
              <w:right w:w="108" w:type="dxa"/>
            </w:tcMar>
            <w:vAlign w:val="bottom"/>
          </w:tcPr>
          <w:p>
            <w:pPr>
              <w:spacing w:before="0" w:after="0" w:line="240" w:lineRule="auto"/>
              <w:jc w:val="left"/>
              <w:textAlignment w:val="center"/>
            </w:pPr>
            <w:r>
              <w:rPr>
                <w:rFonts w:ascii="宋体" w:eastAsia="宋体" w:hAnsi="宋体" w:cs="宋体"/>
                <w:b w:val="0"/>
                <w:sz w:val="21"/>
              </w:rPr>
              <w:t>坚持党建引领，推进基层治理现代化。创新攻坚策略，打造“两新”党建新标杆。坚持围绕中心，推进志愿服务品牌化。坚持源头治理，推进信访工作法治化。信访各项考核指标名列全省前列，圆满完成2025年全国、省、市“两会”、党的二十届四中全会、中央巡视组驻榕、省委巡视组驻明及上级来泰考察调研等信访维稳工作。</w:t>
            </w:r>
          </w:p>
        </w:tc>
      </w:tr>
      <w:tr>
        <w:tblPrEx>
          <w:tblW w:w="10000" w:type="dxa"/>
          <w:tblLayout w:type="fixed"/>
          <w:tblCellMar>
            <w:top w:w="0" w:type="dxa"/>
            <w:left w:w="108" w:type="dxa"/>
            <w:bottom w:w="0" w:type="dxa"/>
            <w:right w:w="108" w:type="dxa"/>
          </w:tblCellMar>
        </w:tblPrEx>
        <w:trPr>
          <w:cantSplit/>
          <w:tblHeader/>
        </w:trPr>
        <w:tc>
          <w:tcPr>
            <w:tcW w:w="833" w:type="dxa"/>
            <w:vMerge w:val="restart"/>
            <w:tcMar>
              <w:left w:w="108" w:type="dxa"/>
              <w:right w:w="108" w:type="dxa"/>
            </w:tcMar>
            <w:vAlign w:val="center"/>
          </w:tcPr>
          <w:p>
            <w:pPr>
              <w:spacing w:before="0" w:after="0" w:line="240" w:lineRule="auto"/>
              <w:jc w:val="left"/>
              <w:textAlignment w:val="center"/>
            </w:pPr>
            <w:r>
              <w:rPr>
                <w:rFonts w:ascii="宋体" w:eastAsia="宋体" w:hAnsi="宋体" w:cs="宋体"/>
                <w:b w:val="0"/>
                <w:sz w:val="21"/>
              </w:rPr>
              <w:t>绩效</w:t>
              <w:br/>
            </w:r>
            <w:r>
              <w:rPr>
                <w:rFonts w:ascii="宋体" w:eastAsia="宋体" w:hAnsi="宋体" w:cs="宋体"/>
                <w:b w:val="0"/>
                <w:sz w:val="21"/>
              </w:rPr>
              <w:t>指标</w:t>
              <w:br/>
            </w:r>
            <w:r>
              <w:rPr>
                <w:rFonts w:ascii="宋体" w:eastAsia="宋体" w:hAnsi="宋体" w:cs="宋体"/>
                <w:b w:val="0"/>
                <w:sz w:val="21"/>
              </w:rPr>
              <w:t>绩效</w:t>
              <w:br/>
            </w:r>
            <w:r>
              <w:rPr>
                <w:rFonts w:ascii="宋体" w:eastAsia="宋体" w:hAnsi="宋体" w:cs="宋体"/>
                <w:b w:val="0"/>
                <w:sz w:val="21"/>
              </w:rPr>
              <w:t>指标</w:t>
              <w:br/>
            </w:r>
            <w:r>
              <w:rPr>
                <w:rFonts w:ascii="宋体" w:eastAsia="宋体" w:hAnsi="宋体" w:cs="宋体"/>
                <w:b w:val="0"/>
                <w:sz w:val="21"/>
              </w:rPr>
              <w:t>绩效</w:t>
              <w:br/>
            </w:r>
            <w:r>
              <w:rPr>
                <w:rFonts w:ascii="宋体" w:eastAsia="宋体" w:hAnsi="宋体" w:cs="宋体"/>
                <w:b w:val="0"/>
                <w:sz w:val="21"/>
              </w:rPr>
              <w:t>指标</w:t>
              <w:br/>
            </w:r>
            <w:r>
              <w:rPr>
                <w:rFonts w:ascii="宋体" w:eastAsia="宋体" w:hAnsi="宋体" w:cs="宋体"/>
                <w:b w:val="0"/>
                <w:sz w:val="21"/>
              </w:rPr>
              <w:t>绩效</w:t>
              <w:br/>
            </w:r>
            <w:r>
              <w:rPr>
                <w:rFonts w:ascii="宋体" w:eastAsia="宋体" w:hAnsi="宋体" w:cs="宋体"/>
                <w:b w:val="0"/>
                <w:sz w:val="21"/>
              </w:rPr>
              <w:t>指标</w:t>
              <w:br/>
            </w:r>
            <w:r>
              <w:rPr>
                <w:rFonts w:ascii="宋体" w:eastAsia="宋体" w:hAnsi="宋体" w:cs="宋体"/>
                <w:b w:val="0"/>
                <w:sz w:val="21"/>
              </w:rPr>
              <w:t>绩效</w:t>
              <w:br/>
            </w:r>
            <w:r>
              <w:rPr>
                <w:rFonts w:ascii="宋体" w:eastAsia="宋体" w:hAnsi="宋体" w:cs="宋体"/>
                <w:b w:val="0"/>
                <w:sz w:val="21"/>
              </w:rPr>
              <w:t>指标</w:t>
              <w:br/>
            </w:r>
            <w:r>
              <w:rPr>
                <w:rFonts w:ascii="宋体" w:eastAsia="宋体" w:hAnsi="宋体" w:cs="宋体"/>
                <w:b w:val="0"/>
                <w:sz w:val="21"/>
              </w:rPr>
              <w:t>绩效</w:t>
              <w:br/>
            </w:r>
            <w:r>
              <w:rPr>
                <w:rFonts w:ascii="宋体" w:eastAsia="宋体" w:hAnsi="宋体" w:cs="宋体"/>
                <w:b w:val="0"/>
                <w:sz w:val="21"/>
              </w:rPr>
              <w:t>指标</w:t>
              <w:br/>
            </w:r>
            <w:r>
              <w:rPr>
                <w:rFonts w:ascii="宋体" w:eastAsia="宋体" w:hAnsi="宋体" w:cs="宋体"/>
                <w:b w:val="0"/>
                <w:sz w:val="21"/>
              </w:rPr>
              <w:t>绩效</w:t>
              <w:br/>
            </w:r>
            <w:r>
              <w:rPr>
                <w:rFonts w:ascii="宋体" w:eastAsia="宋体" w:hAnsi="宋体" w:cs="宋体"/>
                <w:b w:val="0"/>
                <w:sz w:val="21"/>
              </w:rPr>
              <w:t>指标</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一级指标</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二级指标</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三级指标</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年度指标值</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实际完成值</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指标分值</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自评得分</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偏差原因分析及改进措施</w:t>
            </w:r>
          </w:p>
        </w:tc>
      </w:tr>
      <w:tr>
        <w:tblPrEx>
          <w:tblW w:w="10000" w:type="dxa"/>
          <w:tblLayout w:type="fixed"/>
          <w:tblCellMar>
            <w:top w:w="0" w:type="dxa"/>
            <w:left w:w="108" w:type="dxa"/>
            <w:bottom w:w="0" w:type="dxa"/>
            <w:right w:w="108" w:type="dxa"/>
          </w:tblCellMar>
        </w:tblPrEx>
        <w:trPr>
          <w:cantSplit/>
          <w:tblHeader/>
        </w:trPr>
        <w:tc>
          <w:tcPr>
            <w:tcW w:w="1310" w:type="dxa"/>
            <w:vMerge/>
            <w:tcMar>
              <w:left w:w="108" w:type="dxa"/>
              <w:right w:w="108" w:type="dxa"/>
            </w:tcMar>
          </w:tcPr>
          <w:p/>
        </w:tc>
        <w:tc>
          <w:tcPr>
            <w:tcW w:w="833" w:type="dxa"/>
            <w:vMerge w:val="restart"/>
            <w:tcMar>
              <w:left w:w="108" w:type="dxa"/>
              <w:right w:w="108" w:type="dxa"/>
            </w:tcMar>
            <w:vAlign w:val="center"/>
          </w:tcPr>
          <w:p>
            <w:pPr>
              <w:spacing w:before="0" w:after="0" w:line="240" w:lineRule="auto"/>
              <w:jc w:val="left"/>
              <w:textAlignment w:val="center"/>
            </w:pPr>
            <w:r>
              <w:rPr>
                <w:rFonts w:ascii="宋体" w:eastAsia="宋体" w:hAnsi="宋体" w:cs="宋体"/>
                <w:b w:val="0"/>
                <w:sz w:val="21"/>
              </w:rPr>
              <w:t>产出指标</w:t>
              <w:br/>
            </w:r>
            <w:r>
              <w:rPr>
                <w:rFonts w:ascii="宋体" w:eastAsia="宋体" w:hAnsi="宋体" w:cs="宋体"/>
                <w:b w:val="0"/>
                <w:sz w:val="21"/>
              </w:rPr>
              <w:t>产出指标</w:t>
              <w:br/>
            </w:r>
            <w:r>
              <w:rPr>
                <w:rFonts w:ascii="宋体" w:eastAsia="宋体" w:hAnsi="宋体" w:cs="宋体"/>
                <w:b w:val="0"/>
                <w:sz w:val="21"/>
              </w:rPr>
              <w:t>产出指标</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数量指标</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处理信访件数量</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≥210件</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208</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15</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14.86</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时间拖太久，进度慢</w:t>
            </w:r>
          </w:p>
        </w:tc>
      </w:tr>
      <w:tr>
        <w:tblPrEx>
          <w:tblW w:w="10000" w:type="dxa"/>
          <w:tblLayout w:type="fixed"/>
          <w:tblCellMar>
            <w:top w:w="0" w:type="dxa"/>
            <w:left w:w="108" w:type="dxa"/>
            <w:bottom w:w="0" w:type="dxa"/>
            <w:right w:w="108" w:type="dxa"/>
          </w:tblCellMar>
        </w:tblPrEx>
        <w:trPr>
          <w:cantSplit/>
          <w:tblHeader/>
        </w:trPr>
        <w:tc>
          <w:tcPr>
            <w:tcW w:w="1310" w:type="dxa"/>
            <w:vMerge/>
            <w:tcMar>
              <w:left w:w="108" w:type="dxa"/>
              <w:right w:w="108" w:type="dxa"/>
            </w:tcMar>
          </w:tcPr>
          <w:p/>
        </w:tc>
        <w:tc>
          <w:tcPr>
            <w:tcW w:w="1860" w:type="dxa"/>
            <w:vMerge/>
            <w:tcMar>
              <w:left w:w="108" w:type="dxa"/>
              <w:right w:w="108" w:type="dxa"/>
            </w:tcMar>
          </w:tcP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质量指标</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信访件受理率</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=98%</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10</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无偏差</w:t>
            </w:r>
          </w:p>
        </w:tc>
      </w:tr>
      <w:tr>
        <w:tblPrEx>
          <w:tblW w:w="10000" w:type="dxa"/>
          <w:tblLayout w:type="fixed"/>
          <w:tblCellMar>
            <w:top w:w="0" w:type="dxa"/>
            <w:left w:w="108" w:type="dxa"/>
            <w:bottom w:w="0" w:type="dxa"/>
            <w:right w:w="108" w:type="dxa"/>
          </w:tblCellMar>
        </w:tblPrEx>
        <w:trPr>
          <w:cantSplit/>
          <w:tblHeader/>
        </w:trPr>
        <w:tc>
          <w:tcPr>
            <w:tcW w:w="1310" w:type="dxa"/>
            <w:vMerge/>
            <w:tcMar>
              <w:left w:w="108" w:type="dxa"/>
              <w:right w:w="108" w:type="dxa"/>
            </w:tcMar>
          </w:tcPr>
          <w:p/>
        </w:tc>
        <w:tc>
          <w:tcPr>
            <w:tcW w:w="1860" w:type="dxa"/>
            <w:vMerge/>
            <w:tcMar>
              <w:left w:w="108" w:type="dxa"/>
              <w:right w:w="108" w:type="dxa"/>
            </w:tcMar>
          </w:tcP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时效指标</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资金到位及时率</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15</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15</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无偏差</w:t>
            </w:r>
          </w:p>
        </w:tc>
      </w:tr>
      <w:tr>
        <w:tblPrEx>
          <w:tblW w:w="10000" w:type="dxa"/>
          <w:tblLayout w:type="fixed"/>
          <w:tblCellMar>
            <w:top w:w="0" w:type="dxa"/>
            <w:left w:w="108" w:type="dxa"/>
            <w:bottom w:w="0" w:type="dxa"/>
            <w:right w:w="108" w:type="dxa"/>
          </w:tblCellMar>
        </w:tblPrEx>
        <w:trPr>
          <w:cantSplit/>
          <w:tblHeader/>
        </w:trPr>
        <w:tc>
          <w:tcPr>
            <w:tcW w:w="1310" w:type="dxa"/>
            <w:vMerge/>
            <w:tcMar>
              <w:left w:w="108" w:type="dxa"/>
              <w:right w:w="108" w:type="dxa"/>
            </w:tcMar>
          </w:tcP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成本指标</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经济成本指标</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部门业务费</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≤32万元</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32</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10</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无偏差</w:t>
            </w:r>
          </w:p>
        </w:tc>
      </w:tr>
      <w:tr>
        <w:tblPrEx>
          <w:tblW w:w="10000" w:type="dxa"/>
          <w:tblLayout w:type="fixed"/>
          <w:tblCellMar>
            <w:top w:w="0" w:type="dxa"/>
            <w:left w:w="108" w:type="dxa"/>
            <w:bottom w:w="0" w:type="dxa"/>
            <w:right w:w="108" w:type="dxa"/>
          </w:tblCellMar>
        </w:tblPrEx>
        <w:trPr>
          <w:cantSplit/>
          <w:tblHeader/>
        </w:trPr>
        <w:tc>
          <w:tcPr>
            <w:tcW w:w="1310" w:type="dxa"/>
            <w:vMerge/>
            <w:tcMar>
              <w:left w:w="108" w:type="dxa"/>
              <w:right w:w="108" w:type="dxa"/>
            </w:tcMar>
          </w:tcP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效益指标</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社会效益指标</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信访投诉办结率</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≥98%</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30</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30</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无偏差</w:t>
            </w:r>
          </w:p>
        </w:tc>
      </w:tr>
      <w:tr>
        <w:tblPrEx>
          <w:tblW w:w="10000" w:type="dxa"/>
          <w:tblLayout w:type="fixed"/>
          <w:tblCellMar>
            <w:top w:w="0" w:type="dxa"/>
            <w:left w:w="108" w:type="dxa"/>
            <w:bottom w:w="0" w:type="dxa"/>
            <w:right w:w="108" w:type="dxa"/>
          </w:tblCellMar>
        </w:tblPrEx>
        <w:trPr>
          <w:cantSplit/>
          <w:tblHeader/>
        </w:trPr>
        <w:tc>
          <w:tcPr>
            <w:tcW w:w="1310" w:type="dxa"/>
            <w:vMerge/>
            <w:tcMar>
              <w:left w:w="108" w:type="dxa"/>
              <w:right w:w="108" w:type="dxa"/>
            </w:tcMar>
          </w:tcP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满意度指标</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服务对象满意度指标</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群众对办理信访事项满意率</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≥98%</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10</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无偏差</w:t>
            </w:r>
          </w:p>
        </w:tc>
      </w:tr>
      <w:tr>
        <w:tblPrEx>
          <w:tblW w:w="10000" w:type="dxa"/>
          <w:tblLayout w:type="fixed"/>
          <w:tblCellMar>
            <w:top w:w="0" w:type="dxa"/>
            <w:left w:w="108" w:type="dxa"/>
            <w:bottom w:w="0" w:type="dxa"/>
            <w:right w:w="108" w:type="dxa"/>
          </w:tblCellMar>
        </w:tblPrEx>
        <w:trPr>
          <w:cantSplit/>
          <w:tblHeader/>
        </w:trPr>
        <w:tc>
          <w:tcPr>
            <w:tcW w:w="833" w:type="dxa"/>
            <w:gridSpan w:val="7"/>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总分值、评价总分 (S)</w:t>
            </w:r>
          </w:p>
        </w:tc>
        <w:tc>
          <w:tcPr>
            <w:tcW w:w="833" w:type="dxa"/>
            <w:gridSpan w:val="5"/>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99.86</w:t>
            </w:r>
          </w:p>
        </w:tc>
      </w:tr>
      <w:tr>
        <w:tblPrEx>
          <w:tblW w:w="10000" w:type="dxa"/>
          <w:tblLayout w:type="fixed"/>
          <w:tblCellMar>
            <w:top w:w="0" w:type="dxa"/>
            <w:left w:w="108" w:type="dxa"/>
            <w:bottom w:w="0" w:type="dxa"/>
            <w:right w:w="108" w:type="dxa"/>
          </w:tblCellMar>
        </w:tblPrEx>
        <w:trPr>
          <w:cantSplit/>
          <w:tblHeader/>
        </w:trPr>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评价等级</w:t>
            </w:r>
          </w:p>
        </w:tc>
        <w:tc>
          <w:tcPr>
            <w:tcW w:w="833" w:type="dxa"/>
            <w:gridSpan w:val="10"/>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优（S≧90）</w:t>
            </w:r>
          </w:p>
        </w:tc>
      </w:tr>
      <w:tr>
        <w:tblPrEx>
          <w:tblW w:w="10000" w:type="dxa"/>
          <w:tblLayout w:type="fixed"/>
          <w:tblCellMar>
            <w:top w:w="0" w:type="dxa"/>
            <w:left w:w="108" w:type="dxa"/>
            <w:bottom w:w="0" w:type="dxa"/>
            <w:right w:w="108" w:type="dxa"/>
          </w:tblCellMar>
        </w:tblPrEx>
        <w:trPr>
          <w:cantSplit/>
          <w:tblHeader/>
        </w:trPr>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color w:val="000000"/>
                <w:sz w:val="21"/>
              </w:rPr>
              <w:t>问题与建议（每条问题和建议不少于30个字）</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问题类型</w:t>
            </w:r>
          </w:p>
        </w:tc>
        <w:tc>
          <w:tcPr>
            <w:tcW w:w="833" w:type="dxa"/>
            <w:gridSpan w:val="3"/>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存在问题</w:t>
            </w:r>
          </w:p>
        </w:tc>
        <w:tc>
          <w:tcPr>
            <w:tcW w:w="833" w:type="dxa"/>
            <w:gridSpan w:val="5"/>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改进建议</w:t>
            </w:r>
          </w:p>
        </w:tc>
      </w:tr>
      <w:tr>
        <w:tblPrEx>
          <w:tblW w:w="10000" w:type="dxa"/>
          <w:tblLayout w:type="fixed"/>
          <w:tblCellMar>
            <w:top w:w="0" w:type="dxa"/>
            <w:left w:w="108" w:type="dxa"/>
            <w:bottom w:w="0" w:type="dxa"/>
            <w:right w:w="108" w:type="dxa"/>
          </w:tblCellMar>
        </w:tblPrEx>
        <w:trPr>
          <w:cantSplit/>
          <w:tblHeader/>
        </w:trPr>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r>
    </w:tbl>
    <w:p>
      <w:pPr>
        <w:pageBreakBefore/>
      </w:pPr>
    </w:p>
    <w:tbl>
      <w:tblPr>
        <w:tblW w:w="10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834"/>
        <w:gridCol w:w="834"/>
        <w:gridCol w:w="834"/>
        <w:gridCol w:w="834"/>
        <w:gridCol w:w="833"/>
        <w:gridCol w:w="833"/>
        <w:gridCol w:w="833"/>
        <w:gridCol w:w="833"/>
        <w:gridCol w:w="833"/>
        <w:gridCol w:w="833"/>
        <w:gridCol w:w="833"/>
        <w:gridCol w:w="833"/>
      </w:tblGrid>
      <w:tr>
        <w:tblPrEx>
          <w:tblW w:w="10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Ex>
        <w:trPr>
          <w:cantSplit/>
          <w:tblHeader/>
        </w:trPr>
        <w:tc>
          <w:tcPr>
            <w:tcW w:w="833" w:type="dxa"/>
            <w:gridSpan w:val="12"/>
            <w:tcMar>
              <w:left w:w="108" w:type="dxa"/>
              <w:right w:w="108" w:type="dxa"/>
            </w:tcMar>
            <w:vAlign w:val="center"/>
          </w:tcPr>
          <w:p>
            <w:pPr>
              <w:spacing w:before="0" w:after="0" w:line="240" w:lineRule="auto"/>
              <w:jc w:val="center"/>
              <w:textAlignment w:val="center"/>
            </w:pPr>
            <w:r>
              <w:rPr>
                <w:rFonts w:ascii="黑体" w:eastAsia="黑体" w:hAnsi="黑体" w:cs="黑体"/>
                <w:b w:val="0"/>
                <w:sz w:val="32"/>
              </w:rPr>
              <w:t>专项资金绩效自评表</w:t>
            </w:r>
          </w:p>
        </w:tc>
      </w:tr>
      <w:tr>
        <w:tblPrEx>
          <w:tblW w:w="10000" w:type="dxa"/>
          <w:tblLayout w:type="fixed"/>
          <w:tblCellMar>
            <w:top w:w="0" w:type="dxa"/>
            <w:left w:w="108" w:type="dxa"/>
            <w:bottom w:w="0" w:type="dxa"/>
            <w:right w:w="108" w:type="dxa"/>
          </w:tblCellMar>
        </w:tblPrEx>
        <w:trPr>
          <w:cantSplit/>
          <w:tblHeader/>
        </w:trPr>
        <w:tc>
          <w:tcPr>
            <w:tcW w:w="833" w:type="dxa"/>
            <w:gridSpan w:val="12"/>
            <w:tcMar>
              <w:left w:w="108" w:type="dxa"/>
              <w:right w:w="108" w:type="dxa"/>
            </w:tcMar>
            <w:vAlign w:val="center"/>
          </w:tcPr>
          <w:p>
            <w:pPr>
              <w:spacing w:before="0" w:after="0" w:line="240" w:lineRule="auto"/>
              <w:jc w:val="center"/>
              <w:textAlignment w:val="center"/>
            </w:pPr>
            <w:r>
              <w:rPr>
                <w:rFonts w:ascii="宋体" w:eastAsia="宋体" w:hAnsi="宋体" w:cs="宋体"/>
                <w:sz w:val="24"/>
              </w:rPr>
              <w:t>（2025年度）</w:t>
            </w:r>
          </w:p>
        </w:tc>
      </w:tr>
      <w:tr>
        <w:tblPrEx>
          <w:tblW w:w="10000" w:type="dxa"/>
          <w:tblLayout w:type="fixed"/>
          <w:tblCellMar>
            <w:top w:w="0" w:type="dxa"/>
            <w:left w:w="108" w:type="dxa"/>
            <w:bottom w:w="0" w:type="dxa"/>
            <w:right w:w="108" w:type="dxa"/>
          </w:tblCellMar>
        </w:tblPrEx>
        <w:trPr>
          <w:cantSplit/>
          <w:tblHeader/>
        </w:trPr>
        <w:tc>
          <w:tcPr>
            <w:tcW w:w="833" w:type="dxa"/>
            <w:gridSpan w:val="3"/>
            <w:tcMar>
              <w:left w:w="108" w:type="dxa"/>
              <w:right w:w="108" w:type="dxa"/>
            </w:tcMar>
            <w:vAlign w:val="center"/>
          </w:tcPr>
          <w:p>
            <w:pPr>
              <w:spacing w:before="0" w:after="0" w:line="240" w:lineRule="auto"/>
              <w:jc w:val="center"/>
              <w:textAlignment w:val="center"/>
            </w:pPr>
            <w:r>
              <w:rPr>
                <w:rFonts w:ascii="宋体" w:eastAsia="宋体" w:hAnsi="宋体" w:cs="宋体"/>
                <w:sz w:val="24"/>
              </w:rPr>
              <w:t>专项名称</w:t>
            </w:r>
          </w:p>
        </w:tc>
        <w:tc>
          <w:tcPr>
            <w:tcW w:w="833" w:type="dxa"/>
            <w:gridSpan w:val="9"/>
            <w:tcMar>
              <w:left w:w="108" w:type="dxa"/>
              <w:right w:w="108" w:type="dxa"/>
            </w:tcMar>
            <w:vAlign w:val="center"/>
          </w:tcPr>
          <w:p>
            <w:pPr>
              <w:spacing w:before="0" w:after="0" w:line="240" w:lineRule="auto"/>
              <w:jc w:val="center"/>
              <w:textAlignment w:val="center"/>
            </w:pPr>
            <w:r>
              <w:rPr>
                <w:rFonts w:ascii="宋体" w:eastAsia="宋体" w:hAnsi="宋体" w:cs="宋体"/>
                <w:sz w:val="24"/>
              </w:rPr>
              <w:t>信访维稳基金</w:t>
            </w:r>
          </w:p>
        </w:tc>
      </w:tr>
      <w:tr>
        <w:tblPrEx>
          <w:tblW w:w="10000" w:type="dxa"/>
          <w:tblLayout w:type="fixed"/>
          <w:tblCellMar>
            <w:top w:w="0" w:type="dxa"/>
            <w:left w:w="108" w:type="dxa"/>
            <w:bottom w:w="0" w:type="dxa"/>
            <w:right w:w="108" w:type="dxa"/>
          </w:tblCellMar>
        </w:tblPrEx>
        <w:trPr>
          <w:cantSplit/>
          <w:tblHeader/>
        </w:trPr>
        <w:tc>
          <w:tcPr>
            <w:tcW w:w="833" w:type="dxa"/>
            <w:gridSpan w:val="3"/>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主管部门</w:t>
            </w:r>
          </w:p>
        </w:tc>
        <w:tc>
          <w:tcPr>
            <w:tcW w:w="833" w:type="dxa"/>
            <w:gridSpan w:val="3"/>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中共泰宁县委社会工作部</w:t>
            </w:r>
          </w:p>
        </w:tc>
        <w:tc>
          <w:tcPr>
            <w:tcW w:w="833"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实施单位</w:t>
            </w:r>
          </w:p>
        </w:tc>
        <w:tc>
          <w:tcPr>
            <w:tcW w:w="833" w:type="dxa"/>
            <w:gridSpan w:val="5"/>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中共泰宁县委社会工作部</w:t>
            </w:r>
          </w:p>
        </w:tc>
      </w:tr>
      <w:tr>
        <w:tblPrEx>
          <w:tblW w:w="10000" w:type="dxa"/>
          <w:tblLayout w:type="fixed"/>
          <w:tblCellMar>
            <w:top w:w="0" w:type="dxa"/>
            <w:left w:w="108" w:type="dxa"/>
            <w:bottom w:w="0" w:type="dxa"/>
            <w:right w:w="108" w:type="dxa"/>
          </w:tblCellMar>
        </w:tblPrEx>
        <w:trPr>
          <w:cantSplit/>
          <w:tblHeader/>
        </w:trPr>
        <w:tc>
          <w:tcPr>
            <w:tcW w:w="833" w:type="dxa"/>
            <w:gridSpan w:val="3"/>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项目概况</w:t>
            </w:r>
          </w:p>
        </w:tc>
        <w:tc>
          <w:tcPr>
            <w:tcW w:w="833" w:type="dxa"/>
            <w:gridSpan w:val="9"/>
            <w:tcMar>
              <w:left w:w="108" w:type="dxa"/>
              <w:right w:w="108" w:type="dxa"/>
            </w:tcMar>
            <w:vAlign w:val="center"/>
          </w:tcPr>
          <w:p>
            <w:pPr>
              <w:spacing w:before="0" w:after="0" w:line="240" w:lineRule="auto"/>
              <w:jc w:val="left"/>
              <w:textAlignment w:val="center"/>
            </w:pPr>
            <w:r>
              <w:rPr>
                <w:rFonts w:ascii="宋体" w:eastAsia="宋体" w:hAnsi="宋体" w:cs="宋体"/>
                <w:b w:val="0"/>
                <w:sz w:val="21"/>
              </w:rPr>
              <w:t>信访维稳基金</w:t>
            </w:r>
          </w:p>
        </w:tc>
      </w:tr>
      <w:tr>
        <w:tblPrEx>
          <w:tblW w:w="10000" w:type="dxa"/>
          <w:tblLayout w:type="fixed"/>
          <w:tblCellMar>
            <w:top w:w="0" w:type="dxa"/>
            <w:left w:w="108" w:type="dxa"/>
            <w:bottom w:w="0" w:type="dxa"/>
            <w:right w:w="108" w:type="dxa"/>
          </w:tblCellMar>
        </w:tblPrEx>
        <w:trPr>
          <w:cantSplit/>
          <w:tblHeader/>
        </w:trPr>
        <w:tc>
          <w:tcPr>
            <w:tcW w:w="833" w:type="dxa"/>
            <w:gridSpan w:val="3"/>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主要成效</w:t>
            </w:r>
          </w:p>
        </w:tc>
        <w:tc>
          <w:tcPr>
            <w:tcW w:w="833" w:type="dxa"/>
            <w:gridSpan w:val="9"/>
            <w:tcMar>
              <w:left w:w="108" w:type="dxa"/>
              <w:right w:w="108" w:type="dxa"/>
            </w:tcMar>
            <w:vAlign w:val="center"/>
          </w:tcPr>
          <w:p>
            <w:pPr>
              <w:spacing w:before="0" w:after="0" w:line="240" w:lineRule="auto"/>
              <w:jc w:val="left"/>
              <w:textAlignment w:val="center"/>
            </w:pPr>
            <w:r>
              <w:rPr>
                <w:rFonts w:ascii="宋体" w:eastAsia="宋体" w:hAnsi="宋体" w:cs="宋体"/>
                <w:b w:val="0"/>
                <w:sz w:val="21"/>
              </w:rPr>
              <w:t>坚决扛起政治责任，圆满完成中央巡视组移交我县的全部信访事项办理工作。中央巡视组共移交我县83件信访事项，总量为全市最少，实现及时受理率、按期反馈率、回访率均达100%。用心用情推动群众合理诉求实质性化解，合理、部分合理诉求的化解率在全市率先达100%。省委巡视组截至目前共移交我县3件信访事项，全市（县（市、区））巡视交办件数为全市最少。</w:t>
            </w:r>
          </w:p>
        </w:tc>
      </w:tr>
      <w:tr>
        <w:tblPrEx>
          <w:tblW w:w="10000" w:type="dxa"/>
          <w:tblLayout w:type="fixed"/>
          <w:tblCellMar>
            <w:top w:w="0" w:type="dxa"/>
            <w:left w:w="108" w:type="dxa"/>
            <w:bottom w:w="0" w:type="dxa"/>
            <w:right w:w="108" w:type="dxa"/>
          </w:tblCellMar>
        </w:tblPrEx>
        <w:trPr>
          <w:cantSplit/>
          <w:tblHeader/>
        </w:trPr>
        <w:tc>
          <w:tcPr>
            <w:tcW w:w="833" w:type="dxa"/>
            <w:vMerge w:val="restart"/>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项目资金(万元)</w:t>
            </w:r>
          </w:p>
        </w:tc>
        <w:tc>
          <w:tcPr>
            <w:tcW w:w="833" w:type="dxa"/>
            <w:gridSpan w:val="2"/>
            <w:tcMar>
              <w:left w:w="108" w:type="dxa"/>
              <w:right w:w="108" w:type="dxa"/>
            </w:tcMar>
            <w:vAlign w:val="center"/>
          </w:tcPr>
          <w:p>
            <w:pPr>
              <w:spacing w:before="0" w:after="0" w:line="240" w:lineRule="auto"/>
              <w:jc w:val="center"/>
              <w:textAlignment w:val="center"/>
            </w:pPr>
          </w:p>
        </w:tc>
        <w:tc>
          <w:tcPr>
            <w:tcW w:w="833"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年初预算数</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全年预算数</w:t>
            </w:r>
          </w:p>
        </w:tc>
        <w:tc>
          <w:tcPr>
            <w:tcW w:w="833"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全年执行数</w:t>
            </w:r>
          </w:p>
        </w:tc>
        <w:tc>
          <w:tcPr>
            <w:tcW w:w="833"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分值</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执行率（%）</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得分</w:t>
            </w:r>
          </w:p>
        </w:tc>
      </w:tr>
      <w:tr>
        <w:tblPrEx>
          <w:tblW w:w="10000" w:type="dxa"/>
          <w:tblLayout w:type="fixed"/>
          <w:tblCellMar>
            <w:top w:w="0" w:type="dxa"/>
            <w:left w:w="108" w:type="dxa"/>
            <w:bottom w:w="0" w:type="dxa"/>
            <w:right w:w="108" w:type="dxa"/>
          </w:tblCellMar>
        </w:tblPrEx>
        <w:trPr>
          <w:cantSplit/>
          <w:tblHeader/>
        </w:trPr>
        <w:tc>
          <w:tcPr>
            <w:tcW w:w="1262" w:type="dxa"/>
            <w:vMerge/>
            <w:tcMar>
              <w:left w:w="108" w:type="dxa"/>
              <w:right w:w="108" w:type="dxa"/>
            </w:tcMar>
          </w:tcP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年度资金总额</w:t>
            </w:r>
          </w:p>
        </w:tc>
        <w:tc>
          <w:tcPr>
            <w:tcW w:w="833"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9.00</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9.00</w:t>
            </w:r>
          </w:p>
        </w:tc>
        <w:tc>
          <w:tcPr>
            <w:tcW w:w="833"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8.72</w:t>
            </w:r>
          </w:p>
        </w:tc>
        <w:tc>
          <w:tcPr>
            <w:tcW w:w="833"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10</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96.89</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9.69</w:t>
            </w:r>
          </w:p>
        </w:tc>
      </w:tr>
      <w:tr>
        <w:tblPrEx>
          <w:tblW w:w="10000" w:type="dxa"/>
          <w:tblLayout w:type="fixed"/>
          <w:tblCellMar>
            <w:top w:w="0" w:type="dxa"/>
            <w:left w:w="108" w:type="dxa"/>
            <w:bottom w:w="0" w:type="dxa"/>
            <w:right w:w="108" w:type="dxa"/>
          </w:tblCellMar>
        </w:tblPrEx>
        <w:trPr>
          <w:cantSplit/>
          <w:tblHeader/>
        </w:trPr>
        <w:tc>
          <w:tcPr>
            <w:tcW w:w="1262" w:type="dxa"/>
            <w:vMerge/>
            <w:tcMar>
              <w:left w:w="108" w:type="dxa"/>
              <w:right w:w="108" w:type="dxa"/>
            </w:tcMar>
          </w:tcP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其中：当年财政拨款</w:t>
            </w:r>
          </w:p>
        </w:tc>
        <w:tc>
          <w:tcPr>
            <w:tcW w:w="833"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9.00</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9.00</w:t>
            </w:r>
          </w:p>
        </w:tc>
        <w:tc>
          <w:tcPr>
            <w:tcW w:w="833"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8.72</w:t>
            </w:r>
          </w:p>
        </w:tc>
        <w:tc>
          <w:tcPr>
            <w:tcW w:w="833"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96.85</w:t>
            </w:r>
          </w:p>
        </w:tc>
        <w:tc>
          <w:tcPr>
            <w:tcW w:w="833" w:type="dxa"/>
            <w:gridSpan w:val="2"/>
            <w:tcMar>
              <w:left w:w="108" w:type="dxa"/>
              <w:right w:w="108" w:type="dxa"/>
            </w:tcMar>
            <w:vAlign w:val="center"/>
          </w:tcPr>
          <w:p>
            <w:pPr>
              <w:spacing w:before="0" w:after="0" w:line="240" w:lineRule="auto"/>
              <w:jc w:val="center"/>
              <w:textAlignment w:val="center"/>
            </w:pPr>
          </w:p>
        </w:tc>
      </w:tr>
      <w:tr>
        <w:tblPrEx>
          <w:tblW w:w="10000" w:type="dxa"/>
          <w:tblLayout w:type="fixed"/>
          <w:tblCellMar>
            <w:top w:w="0" w:type="dxa"/>
            <w:left w:w="108" w:type="dxa"/>
            <w:bottom w:w="0" w:type="dxa"/>
            <w:right w:w="108" w:type="dxa"/>
          </w:tblCellMar>
        </w:tblPrEx>
        <w:trPr>
          <w:cantSplit/>
          <w:tblHeader/>
        </w:trPr>
        <w:tc>
          <w:tcPr>
            <w:tcW w:w="1262" w:type="dxa"/>
            <w:vMerge/>
            <w:tcMar>
              <w:left w:w="108" w:type="dxa"/>
              <w:right w:w="108" w:type="dxa"/>
            </w:tcMar>
          </w:tcP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其他资金</w:t>
            </w:r>
          </w:p>
        </w:tc>
        <w:tc>
          <w:tcPr>
            <w:tcW w:w="833"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0.00</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0.00</w:t>
            </w:r>
          </w:p>
        </w:tc>
        <w:tc>
          <w:tcPr>
            <w:tcW w:w="833" w:type="dxa"/>
            <w:gridSpan w:val="2"/>
            <w:tcMar>
              <w:left w:w="108" w:type="dxa"/>
              <w:right w:w="108" w:type="dxa"/>
            </w:tcMar>
            <w:vAlign w:val="center"/>
          </w:tcPr>
          <w:p>
            <w:pPr>
              <w:spacing w:before="0" w:after="0" w:line="240" w:lineRule="auto"/>
              <w:jc w:val="center"/>
              <w:textAlignment w:val="center"/>
            </w:pPr>
          </w:p>
        </w:tc>
      </w:tr>
      <w:tr>
        <w:tblPrEx>
          <w:tblW w:w="10000" w:type="dxa"/>
          <w:tblLayout w:type="fixed"/>
          <w:tblCellMar>
            <w:top w:w="0" w:type="dxa"/>
            <w:left w:w="108" w:type="dxa"/>
            <w:bottom w:w="0" w:type="dxa"/>
            <w:right w:w="108" w:type="dxa"/>
          </w:tblCellMar>
        </w:tblPrEx>
        <w:trPr>
          <w:cantSplit/>
          <w:tblHeader/>
        </w:trPr>
        <w:tc>
          <w:tcPr>
            <w:tcW w:w="1262" w:type="dxa"/>
            <w:vMerge/>
            <w:tcMar>
              <w:left w:w="108" w:type="dxa"/>
              <w:right w:w="108" w:type="dxa"/>
            </w:tcMar>
          </w:tcP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上年结转资金</w:t>
            </w:r>
          </w:p>
        </w:tc>
        <w:tc>
          <w:tcPr>
            <w:tcW w:w="833"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0.00</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0.00</w:t>
            </w:r>
          </w:p>
        </w:tc>
        <w:tc>
          <w:tcPr>
            <w:tcW w:w="833" w:type="dxa"/>
            <w:gridSpan w:val="2"/>
            <w:tcMar>
              <w:left w:w="108" w:type="dxa"/>
              <w:right w:w="108" w:type="dxa"/>
            </w:tcMar>
            <w:vAlign w:val="center"/>
          </w:tcPr>
          <w:p>
            <w:pPr>
              <w:spacing w:before="0" w:after="0" w:line="240" w:lineRule="auto"/>
              <w:jc w:val="center"/>
              <w:textAlignment w:val="center"/>
            </w:pPr>
          </w:p>
        </w:tc>
      </w:tr>
      <w:tr>
        <w:tblPrEx>
          <w:tblW w:w="10000" w:type="dxa"/>
          <w:tblLayout w:type="fixed"/>
          <w:tblCellMar>
            <w:top w:w="0" w:type="dxa"/>
            <w:left w:w="108" w:type="dxa"/>
            <w:bottom w:w="0" w:type="dxa"/>
            <w:right w:w="108" w:type="dxa"/>
          </w:tblCellMar>
        </w:tblPrEx>
        <w:trPr>
          <w:cantSplit/>
          <w:tblHeader/>
        </w:trPr>
        <w:tc>
          <w:tcPr>
            <w:tcW w:w="833" w:type="dxa"/>
            <w:vMerge w:val="restart"/>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年度总体目标</w:t>
            </w:r>
          </w:p>
        </w:tc>
        <w:tc>
          <w:tcPr>
            <w:tcW w:w="833" w:type="dxa"/>
            <w:gridSpan w:val="5"/>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预期目标</w:t>
            </w:r>
          </w:p>
        </w:tc>
        <w:tc>
          <w:tcPr>
            <w:tcW w:w="833" w:type="dxa"/>
            <w:gridSpan w:val="6"/>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实际完成情况</w:t>
            </w:r>
          </w:p>
        </w:tc>
      </w:tr>
      <w:tr>
        <w:tblPrEx>
          <w:tblW w:w="10000" w:type="dxa"/>
          <w:tblLayout w:type="fixed"/>
          <w:tblCellMar>
            <w:top w:w="0" w:type="dxa"/>
            <w:left w:w="108" w:type="dxa"/>
            <w:bottom w:w="0" w:type="dxa"/>
            <w:right w:w="108" w:type="dxa"/>
          </w:tblCellMar>
        </w:tblPrEx>
        <w:trPr>
          <w:cantSplit/>
          <w:tblHeader/>
        </w:trPr>
        <w:tc>
          <w:tcPr>
            <w:tcW w:w="1262" w:type="dxa"/>
            <w:vMerge/>
            <w:tcMar>
              <w:left w:w="108" w:type="dxa"/>
              <w:right w:w="108" w:type="dxa"/>
            </w:tcMar>
          </w:tcPr>
          <w:p/>
        </w:tc>
        <w:tc>
          <w:tcPr>
            <w:tcW w:w="833" w:type="dxa"/>
            <w:gridSpan w:val="5"/>
            <w:tcMar>
              <w:left w:w="108" w:type="dxa"/>
              <w:right w:w="108" w:type="dxa"/>
            </w:tcMar>
            <w:vAlign w:val="bottom"/>
          </w:tcPr>
          <w:p>
            <w:pPr>
              <w:spacing w:before="0" w:after="0" w:line="240" w:lineRule="auto"/>
              <w:jc w:val="left"/>
              <w:textAlignment w:val="center"/>
            </w:pPr>
            <w:r>
              <w:rPr>
                <w:rFonts w:ascii="宋体" w:eastAsia="宋体" w:hAnsi="宋体" w:cs="宋体"/>
                <w:b w:val="0"/>
                <w:sz w:val="21"/>
              </w:rPr>
              <w:t>信访维稳，化解信访积案个案</w:t>
            </w:r>
          </w:p>
        </w:tc>
        <w:tc>
          <w:tcPr>
            <w:tcW w:w="833" w:type="dxa"/>
            <w:gridSpan w:val="6"/>
            <w:tcMar>
              <w:left w:w="108" w:type="dxa"/>
              <w:right w:w="108" w:type="dxa"/>
            </w:tcMar>
            <w:vAlign w:val="bottom"/>
          </w:tcPr>
          <w:p>
            <w:pPr>
              <w:spacing w:before="0" w:after="0" w:line="240" w:lineRule="auto"/>
              <w:jc w:val="left"/>
              <w:textAlignment w:val="center"/>
            </w:pPr>
            <w:r>
              <w:rPr>
                <w:rFonts w:ascii="宋体" w:eastAsia="宋体" w:hAnsi="宋体" w:cs="宋体"/>
                <w:b w:val="0"/>
                <w:sz w:val="21"/>
              </w:rPr>
              <w:t>一是群众满意度持续提升。全县信访事项及时受理率100%、按期答复率100%，信访部门群众满意率98.72%，责任单位群众满意率93.7%，平均办理时限11.32天。截至当前，全省93个县（市、区）申诉求决类初次信访事项办理质量排名（并列）全省第十位。二是信访总量持续下降。2025年1至11月（下同），共受理群众信访208批318人次，与去年同期相比，批次下降3.8%人次下降6.1%。国家信访局、中央信访联席办交办我县督办件7件，已按期办结。三是信访秩序持续向好。圆满完成2025年全国、省、市“两会”、党的二十届四中全会、中央巡视组驻榕、省委巡视组驻明及上级来泰考察调研等信访维稳工作。我县开展“沉下去、厘清楚、处置好”涉稳风险隐患稳控化解专项行动，今年成功化解3件化解类信访事项，16件稳控类信访事项均稳控到位。全县未发生大规模聚集上访，因信访问题引发的负面炒作，始终守牢“三个不发生”底线。</w:t>
            </w:r>
          </w:p>
        </w:tc>
      </w:tr>
      <w:tr>
        <w:tblPrEx>
          <w:tblW w:w="10000" w:type="dxa"/>
          <w:tblLayout w:type="fixed"/>
          <w:tblCellMar>
            <w:top w:w="0" w:type="dxa"/>
            <w:left w:w="108" w:type="dxa"/>
            <w:bottom w:w="0" w:type="dxa"/>
            <w:right w:w="108" w:type="dxa"/>
          </w:tblCellMar>
        </w:tblPrEx>
        <w:trPr>
          <w:cantSplit/>
          <w:tblHeader/>
        </w:trPr>
        <w:tc>
          <w:tcPr>
            <w:tcW w:w="833" w:type="dxa"/>
            <w:vMerge w:val="restart"/>
            <w:tcMar>
              <w:left w:w="108" w:type="dxa"/>
              <w:right w:w="108" w:type="dxa"/>
            </w:tcMar>
            <w:vAlign w:val="center"/>
          </w:tcPr>
          <w:p>
            <w:pPr>
              <w:spacing w:before="0" w:after="0" w:line="240" w:lineRule="auto"/>
              <w:jc w:val="left"/>
              <w:textAlignment w:val="center"/>
            </w:pPr>
            <w:r>
              <w:rPr>
                <w:rFonts w:ascii="宋体" w:eastAsia="宋体" w:hAnsi="宋体" w:cs="宋体"/>
                <w:b w:val="0"/>
                <w:sz w:val="21"/>
              </w:rPr>
              <w:t>绩效</w:t>
              <w:br/>
            </w:r>
            <w:r>
              <w:rPr>
                <w:rFonts w:ascii="宋体" w:eastAsia="宋体" w:hAnsi="宋体" w:cs="宋体"/>
                <w:b w:val="0"/>
                <w:sz w:val="21"/>
              </w:rPr>
              <w:t>指标</w:t>
              <w:br/>
            </w:r>
            <w:r>
              <w:rPr>
                <w:rFonts w:ascii="宋体" w:eastAsia="宋体" w:hAnsi="宋体" w:cs="宋体"/>
                <w:b w:val="0"/>
                <w:sz w:val="21"/>
              </w:rPr>
              <w:t>绩效</w:t>
              <w:br/>
            </w:r>
            <w:r>
              <w:rPr>
                <w:rFonts w:ascii="宋体" w:eastAsia="宋体" w:hAnsi="宋体" w:cs="宋体"/>
                <w:b w:val="0"/>
                <w:sz w:val="21"/>
              </w:rPr>
              <w:t>指标</w:t>
              <w:br/>
            </w:r>
            <w:r>
              <w:rPr>
                <w:rFonts w:ascii="宋体" w:eastAsia="宋体" w:hAnsi="宋体" w:cs="宋体"/>
                <w:b w:val="0"/>
                <w:sz w:val="21"/>
              </w:rPr>
              <w:t>绩效</w:t>
              <w:br/>
            </w:r>
            <w:r>
              <w:rPr>
                <w:rFonts w:ascii="宋体" w:eastAsia="宋体" w:hAnsi="宋体" w:cs="宋体"/>
                <w:b w:val="0"/>
                <w:sz w:val="21"/>
              </w:rPr>
              <w:t>指标</w:t>
              <w:br/>
            </w:r>
            <w:r>
              <w:rPr>
                <w:rFonts w:ascii="宋体" w:eastAsia="宋体" w:hAnsi="宋体" w:cs="宋体"/>
                <w:b w:val="0"/>
                <w:sz w:val="21"/>
              </w:rPr>
              <w:t>绩效</w:t>
              <w:br/>
            </w:r>
            <w:r>
              <w:rPr>
                <w:rFonts w:ascii="宋体" w:eastAsia="宋体" w:hAnsi="宋体" w:cs="宋体"/>
                <w:b w:val="0"/>
                <w:sz w:val="21"/>
              </w:rPr>
              <w:t>指标</w:t>
              <w:br/>
            </w:r>
            <w:r>
              <w:rPr>
                <w:rFonts w:ascii="宋体" w:eastAsia="宋体" w:hAnsi="宋体" w:cs="宋体"/>
                <w:b w:val="0"/>
                <w:sz w:val="21"/>
              </w:rPr>
              <w:t>绩效</w:t>
              <w:br/>
            </w:r>
            <w:r>
              <w:rPr>
                <w:rFonts w:ascii="宋体" w:eastAsia="宋体" w:hAnsi="宋体" w:cs="宋体"/>
                <w:b w:val="0"/>
                <w:sz w:val="21"/>
              </w:rPr>
              <w:t>指标</w:t>
              <w:br/>
            </w:r>
            <w:r>
              <w:rPr>
                <w:rFonts w:ascii="宋体" w:eastAsia="宋体" w:hAnsi="宋体" w:cs="宋体"/>
                <w:b w:val="0"/>
                <w:sz w:val="21"/>
              </w:rPr>
              <w:t>绩效</w:t>
              <w:br/>
            </w:r>
            <w:r>
              <w:rPr>
                <w:rFonts w:ascii="宋体" w:eastAsia="宋体" w:hAnsi="宋体" w:cs="宋体"/>
                <w:b w:val="0"/>
                <w:sz w:val="21"/>
              </w:rPr>
              <w:t>指标</w:t>
              <w:br/>
            </w:r>
            <w:r>
              <w:rPr>
                <w:rFonts w:ascii="宋体" w:eastAsia="宋体" w:hAnsi="宋体" w:cs="宋体"/>
                <w:b w:val="0"/>
                <w:sz w:val="21"/>
              </w:rPr>
              <w:t>绩效</w:t>
              <w:br/>
            </w:r>
            <w:r>
              <w:rPr>
                <w:rFonts w:ascii="宋体" w:eastAsia="宋体" w:hAnsi="宋体" w:cs="宋体"/>
                <w:b w:val="0"/>
                <w:sz w:val="21"/>
              </w:rPr>
              <w:t>指标</w:t>
              <w:br/>
            </w:r>
            <w:r>
              <w:rPr>
                <w:rFonts w:ascii="宋体" w:eastAsia="宋体" w:hAnsi="宋体" w:cs="宋体"/>
                <w:b w:val="0"/>
                <w:sz w:val="21"/>
              </w:rPr>
              <w:t>绩效</w:t>
              <w:br/>
            </w:r>
            <w:r>
              <w:rPr>
                <w:rFonts w:ascii="宋体" w:eastAsia="宋体" w:hAnsi="宋体" w:cs="宋体"/>
                <w:b w:val="0"/>
                <w:sz w:val="21"/>
              </w:rPr>
              <w:t>指标</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一级指标</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二级指标</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三级指标</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年度指标值</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实际完成值</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指标分值</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自评得分</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偏差原因分析及改进措施</w:t>
            </w:r>
          </w:p>
        </w:tc>
      </w:tr>
      <w:tr>
        <w:tblPrEx>
          <w:tblW w:w="10000" w:type="dxa"/>
          <w:tblLayout w:type="fixed"/>
          <w:tblCellMar>
            <w:top w:w="0" w:type="dxa"/>
            <w:left w:w="108" w:type="dxa"/>
            <w:bottom w:w="0" w:type="dxa"/>
            <w:right w:w="108" w:type="dxa"/>
          </w:tblCellMar>
        </w:tblPrEx>
        <w:trPr>
          <w:cantSplit/>
          <w:tblHeader/>
        </w:trPr>
        <w:tc>
          <w:tcPr>
            <w:tcW w:w="1262" w:type="dxa"/>
            <w:vMerge/>
            <w:tcMar>
              <w:left w:w="108" w:type="dxa"/>
              <w:right w:w="108" w:type="dxa"/>
            </w:tcMar>
          </w:tcPr>
          <w:p/>
        </w:tc>
        <w:tc>
          <w:tcPr>
            <w:tcW w:w="833" w:type="dxa"/>
            <w:vMerge w:val="restart"/>
            <w:tcMar>
              <w:left w:w="108" w:type="dxa"/>
              <w:right w:w="108" w:type="dxa"/>
            </w:tcMar>
            <w:vAlign w:val="center"/>
          </w:tcPr>
          <w:p>
            <w:pPr>
              <w:spacing w:before="0" w:after="0" w:line="240" w:lineRule="auto"/>
              <w:jc w:val="left"/>
              <w:textAlignment w:val="center"/>
            </w:pPr>
            <w:r>
              <w:rPr>
                <w:rFonts w:ascii="宋体" w:eastAsia="宋体" w:hAnsi="宋体" w:cs="宋体"/>
                <w:b w:val="0"/>
                <w:sz w:val="21"/>
              </w:rPr>
              <w:t>产出指标</w:t>
              <w:br/>
            </w:r>
            <w:r>
              <w:rPr>
                <w:rFonts w:ascii="宋体" w:eastAsia="宋体" w:hAnsi="宋体" w:cs="宋体"/>
                <w:b w:val="0"/>
                <w:sz w:val="21"/>
              </w:rPr>
              <w:t>产出指标</w:t>
              <w:br/>
            </w:r>
            <w:r>
              <w:rPr>
                <w:rFonts w:ascii="宋体" w:eastAsia="宋体" w:hAnsi="宋体" w:cs="宋体"/>
                <w:b w:val="0"/>
                <w:sz w:val="21"/>
              </w:rPr>
              <w:t>产出指标</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数量指标</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化解信访积案</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≥2件</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19</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12</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12</w:t>
            </w:r>
          </w:p>
        </w:tc>
        <w:tc>
          <w:tcPr>
            <w:tcW w:w="833" w:type="dxa"/>
            <w:gridSpan w:val="2"/>
            <w:tcMar>
              <w:left w:w="108" w:type="dxa"/>
              <w:right w:w="108" w:type="dxa"/>
            </w:tcMar>
            <w:vAlign w:val="center"/>
          </w:tcPr>
          <w:p>
            <w:pPr>
              <w:spacing w:before="0" w:after="0" w:line="240" w:lineRule="auto"/>
              <w:jc w:val="left"/>
              <w:textAlignment w:val="center"/>
            </w:pPr>
          </w:p>
        </w:tc>
      </w:tr>
      <w:tr>
        <w:tblPrEx>
          <w:tblW w:w="10000" w:type="dxa"/>
          <w:tblLayout w:type="fixed"/>
          <w:tblCellMar>
            <w:top w:w="0" w:type="dxa"/>
            <w:left w:w="108" w:type="dxa"/>
            <w:bottom w:w="0" w:type="dxa"/>
            <w:right w:w="108" w:type="dxa"/>
          </w:tblCellMar>
        </w:tblPrEx>
        <w:trPr>
          <w:cantSplit/>
          <w:tblHeader/>
        </w:trPr>
        <w:tc>
          <w:tcPr>
            <w:tcW w:w="1262" w:type="dxa"/>
            <w:vMerge/>
            <w:tcMar>
              <w:left w:w="108" w:type="dxa"/>
              <w:right w:w="108" w:type="dxa"/>
            </w:tcMar>
          </w:tcPr>
          <w:p/>
        </w:tc>
        <w:tc>
          <w:tcPr>
            <w:tcW w:w="1791" w:type="dxa"/>
            <w:vMerge/>
            <w:tcMar>
              <w:left w:w="108" w:type="dxa"/>
              <w:right w:w="108" w:type="dxa"/>
            </w:tcMar>
          </w:tcP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质量指标</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化解信访积案</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≥98%</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12</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12</w:t>
            </w:r>
          </w:p>
        </w:tc>
        <w:tc>
          <w:tcPr>
            <w:tcW w:w="833" w:type="dxa"/>
            <w:gridSpan w:val="2"/>
            <w:tcMar>
              <w:left w:w="108" w:type="dxa"/>
              <w:right w:w="108" w:type="dxa"/>
            </w:tcMar>
            <w:vAlign w:val="center"/>
          </w:tcPr>
          <w:p>
            <w:pPr>
              <w:spacing w:before="0" w:after="0" w:line="240" w:lineRule="auto"/>
              <w:jc w:val="left"/>
              <w:textAlignment w:val="center"/>
            </w:pPr>
          </w:p>
        </w:tc>
      </w:tr>
      <w:tr>
        <w:tblPrEx>
          <w:tblW w:w="10000" w:type="dxa"/>
          <w:tblLayout w:type="fixed"/>
          <w:tblCellMar>
            <w:top w:w="0" w:type="dxa"/>
            <w:left w:w="108" w:type="dxa"/>
            <w:bottom w:w="0" w:type="dxa"/>
            <w:right w:w="108" w:type="dxa"/>
          </w:tblCellMar>
        </w:tblPrEx>
        <w:trPr>
          <w:cantSplit/>
          <w:tblHeader/>
        </w:trPr>
        <w:tc>
          <w:tcPr>
            <w:tcW w:w="1262" w:type="dxa"/>
            <w:vMerge/>
            <w:tcMar>
              <w:left w:w="108" w:type="dxa"/>
              <w:right w:w="108" w:type="dxa"/>
            </w:tcMar>
          </w:tcPr>
          <w:p/>
        </w:tc>
        <w:tc>
          <w:tcPr>
            <w:tcW w:w="1791" w:type="dxa"/>
            <w:vMerge/>
            <w:tcMar>
              <w:left w:w="108" w:type="dxa"/>
              <w:right w:w="108" w:type="dxa"/>
            </w:tcMar>
          </w:tcP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时效指标</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化解信访积案</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≥98%</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16</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16</w:t>
            </w:r>
          </w:p>
        </w:tc>
        <w:tc>
          <w:tcPr>
            <w:tcW w:w="833" w:type="dxa"/>
            <w:gridSpan w:val="2"/>
            <w:tcMar>
              <w:left w:w="108" w:type="dxa"/>
              <w:right w:w="108" w:type="dxa"/>
            </w:tcMar>
            <w:vAlign w:val="center"/>
          </w:tcPr>
          <w:p>
            <w:pPr>
              <w:spacing w:before="0" w:after="0" w:line="240" w:lineRule="auto"/>
              <w:jc w:val="left"/>
              <w:textAlignment w:val="center"/>
            </w:pPr>
          </w:p>
        </w:tc>
      </w:tr>
      <w:tr>
        <w:tblPrEx>
          <w:tblW w:w="10000" w:type="dxa"/>
          <w:tblLayout w:type="fixed"/>
          <w:tblCellMar>
            <w:top w:w="0" w:type="dxa"/>
            <w:left w:w="108" w:type="dxa"/>
            <w:bottom w:w="0" w:type="dxa"/>
            <w:right w:w="108" w:type="dxa"/>
          </w:tblCellMar>
        </w:tblPrEx>
        <w:trPr>
          <w:cantSplit/>
          <w:tblHeader/>
        </w:trPr>
        <w:tc>
          <w:tcPr>
            <w:tcW w:w="1262" w:type="dxa"/>
            <w:vMerge/>
            <w:tcMar>
              <w:left w:w="108" w:type="dxa"/>
              <w:right w:w="108" w:type="dxa"/>
            </w:tcMar>
          </w:tcPr>
          <w:p/>
        </w:tc>
        <w:tc>
          <w:tcPr>
            <w:tcW w:w="833" w:type="dxa"/>
            <w:vMerge w:val="restart"/>
            <w:tcMar>
              <w:left w:w="108" w:type="dxa"/>
              <w:right w:w="108" w:type="dxa"/>
            </w:tcMar>
            <w:vAlign w:val="center"/>
          </w:tcPr>
          <w:p>
            <w:pPr>
              <w:spacing w:before="0" w:after="0" w:line="240" w:lineRule="auto"/>
              <w:jc w:val="left"/>
              <w:textAlignment w:val="center"/>
            </w:pPr>
            <w:r>
              <w:rPr>
                <w:rFonts w:ascii="宋体" w:eastAsia="宋体" w:hAnsi="宋体" w:cs="宋体"/>
                <w:b w:val="0"/>
                <w:sz w:val="21"/>
              </w:rPr>
              <w:t>成本指标</w:t>
              <w:br/>
            </w:r>
            <w:r>
              <w:rPr>
                <w:rFonts w:ascii="宋体" w:eastAsia="宋体" w:hAnsi="宋体" w:cs="宋体"/>
                <w:b w:val="0"/>
                <w:sz w:val="21"/>
              </w:rPr>
              <w:t>成本指标</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经济成本指标</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信访维稳基金经费</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≥9万元</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9</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5</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5</w:t>
            </w:r>
          </w:p>
        </w:tc>
        <w:tc>
          <w:tcPr>
            <w:tcW w:w="833" w:type="dxa"/>
            <w:gridSpan w:val="2"/>
            <w:tcMar>
              <w:left w:w="108" w:type="dxa"/>
              <w:right w:w="108" w:type="dxa"/>
            </w:tcMar>
            <w:vAlign w:val="center"/>
          </w:tcPr>
          <w:p>
            <w:pPr>
              <w:spacing w:before="0" w:after="0" w:line="240" w:lineRule="auto"/>
              <w:jc w:val="left"/>
              <w:textAlignment w:val="center"/>
            </w:pPr>
          </w:p>
        </w:tc>
      </w:tr>
      <w:tr>
        <w:tblPrEx>
          <w:tblW w:w="10000" w:type="dxa"/>
          <w:tblLayout w:type="fixed"/>
          <w:tblCellMar>
            <w:top w:w="0" w:type="dxa"/>
            <w:left w:w="108" w:type="dxa"/>
            <w:bottom w:w="0" w:type="dxa"/>
            <w:right w:w="108" w:type="dxa"/>
          </w:tblCellMar>
        </w:tblPrEx>
        <w:trPr>
          <w:cantSplit/>
          <w:tblHeader/>
        </w:trPr>
        <w:tc>
          <w:tcPr>
            <w:tcW w:w="1262" w:type="dxa"/>
            <w:vMerge/>
            <w:tcMar>
              <w:left w:w="108" w:type="dxa"/>
              <w:right w:w="108" w:type="dxa"/>
            </w:tcMar>
          </w:tcPr>
          <w:p/>
        </w:tc>
        <w:tc>
          <w:tcPr>
            <w:tcW w:w="1791" w:type="dxa"/>
            <w:vMerge/>
            <w:tcMar>
              <w:left w:w="108" w:type="dxa"/>
              <w:right w:w="108" w:type="dxa"/>
            </w:tcMar>
          </w:tcP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社会成本指标</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化解信访疑难积案个案</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≥2件</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19</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5</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5</w:t>
            </w:r>
          </w:p>
        </w:tc>
        <w:tc>
          <w:tcPr>
            <w:tcW w:w="833" w:type="dxa"/>
            <w:gridSpan w:val="2"/>
            <w:tcMar>
              <w:left w:w="108" w:type="dxa"/>
              <w:right w:w="108" w:type="dxa"/>
            </w:tcMar>
            <w:vAlign w:val="center"/>
          </w:tcPr>
          <w:p>
            <w:pPr>
              <w:spacing w:before="0" w:after="0" w:line="240" w:lineRule="auto"/>
              <w:jc w:val="left"/>
              <w:textAlignment w:val="center"/>
            </w:pPr>
          </w:p>
        </w:tc>
      </w:tr>
      <w:tr>
        <w:tblPrEx>
          <w:tblW w:w="10000" w:type="dxa"/>
          <w:tblLayout w:type="fixed"/>
          <w:tblCellMar>
            <w:top w:w="0" w:type="dxa"/>
            <w:left w:w="108" w:type="dxa"/>
            <w:bottom w:w="0" w:type="dxa"/>
            <w:right w:w="108" w:type="dxa"/>
          </w:tblCellMar>
        </w:tblPrEx>
        <w:trPr>
          <w:cantSplit/>
          <w:tblHeader/>
        </w:trPr>
        <w:tc>
          <w:tcPr>
            <w:tcW w:w="1262" w:type="dxa"/>
            <w:vMerge/>
            <w:tcMar>
              <w:left w:w="108" w:type="dxa"/>
              <w:right w:w="108" w:type="dxa"/>
            </w:tcMar>
          </w:tcP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效益指标</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社会效益指标</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化解信访疑难积案个案</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≥2件</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19</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30</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30</w:t>
            </w:r>
          </w:p>
        </w:tc>
        <w:tc>
          <w:tcPr>
            <w:tcW w:w="833" w:type="dxa"/>
            <w:gridSpan w:val="2"/>
            <w:tcMar>
              <w:left w:w="108" w:type="dxa"/>
              <w:right w:w="108" w:type="dxa"/>
            </w:tcMar>
            <w:vAlign w:val="center"/>
          </w:tcPr>
          <w:p>
            <w:pPr>
              <w:spacing w:before="0" w:after="0" w:line="240" w:lineRule="auto"/>
              <w:jc w:val="left"/>
              <w:textAlignment w:val="center"/>
            </w:pPr>
          </w:p>
        </w:tc>
      </w:tr>
      <w:tr>
        <w:tblPrEx>
          <w:tblW w:w="10000" w:type="dxa"/>
          <w:tblLayout w:type="fixed"/>
          <w:tblCellMar>
            <w:top w:w="0" w:type="dxa"/>
            <w:left w:w="108" w:type="dxa"/>
            <w:bottom w:w="0" w:type="dxa"/>
            <w:right w:w="108" w:type="dxa"/>
          </w:tblCellMar>
        </w:tblPrEx>
        <w:trPr>
          <w:cantSplit/>
          <w:tblHeader/>
        </w:trPr>
        <w:tc>
          <w:tcPr>
            <w:tcW w:w="1262" w:type="dxa"/>
            <w:vMerge/>
            <w:tcMar>
              <w:left w:w="108" w:type="dxa"/>
              <w:right w:w="108" w:type="dxa"/>
            </w:tcMar>
          </w:tcP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满意度指标</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服务对象满意度指标</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服务信访人满意率</w:t>
            </w:r>
          </w:p>
        </w:tc>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≥98%</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10</w:t>
            </w:r>
          </w:p>
        </w:tc>
        <w:tc>
          <w:tcPr>
            <w:tcW w:w="833" w:type="dxa"/>
            <w:gridSpan w:val="2"/>
            <w:tcMar>
              <w:left w:w="108" w:type="dxa"/>
              <w:right w:w="108" w:type="dxa"/>
            </w:tcMar>
            <w:vAlign w:val="center"/>
          </w:tcPr>
          <w:p>
            <w:pPr>
              <w:spacing w:before="0" w:after="0" w:line="240" w:lineRule="auto"/>
              <w:jc w:val="left"/>
              <w:textAlignment w:val="center"/>
            </w:pPr>
          </w:p>
        </w:tc>
      </w:tr>
      <w:tr>
        <w:tblPrEx>
          <w:tblW w:w="10000" w:type="dxa"/>
          <w:tblLayout w:type="fixed"/>
          <w:tblCellMar>
            <w:top w:w="0" w:type="dxa"/>
            <w:left w:w="108" w:type="dxa"/>
            <w:bottom w:w="0" w:type="dxa"/>
            <w:right w:w="108" w:type="dxa"/>
          </w:tblCellMar>
        </w:tblPrEx>
        <w:trPr>
          <w:cantSplit/>
          <w:tblHeader/>
        </w:trPr>
        <w:tc>
          <w:tcPr>
            <w:tcW w:w="833" w:type="dxa"/>
            <w:gridSpan w:val="7"/>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总分值、评价总分 (S)</w:t>
            </w:r>
          </w:p>
        </w:tc>
        <w:tc>
          <w:tcPr>
            <w:tcW w:w="833" w:type="dxa"/>
            <w:gridSpan w:val="5"/>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99.69</w:t>
            </w:r>
          </w:p>
        </w:tc>
      </w:tr>
      <w:tr>
        <w:tblPrEx>
          <w:tblW w:w="10000" w:type="dxa"/>
          <w:tblLayout w:type="fixed"/>
          <w:tblCellMar>
            <w:top w:w="0" w:type="dxa"/>
            <w:left w:w="108" w:type="dxa"/>
            <w:bottom w:w="0" w:type="dxa"/>
            <w:right w:w="108" w:type="dxa"/>
          </w:tblCellMar>
        </w:tblPrEx>
        <w:trPr>
          <w:cantSplit/>
          <w:tblHeader/>
        </w:trPr>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评价等级</w:t>
            </w:r>
          </w:p>
        </w:tc>
        <w:tc>
          <w:tcPr>
            <w:tcW w:w="833" w:type="dxa"/>
            <w:gridSpan w:val="10"/>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优（S≧90）</w:t>
            </w:r>
          </w:p>
        </w:tc>
      </w:tr>
      <w:tr>
        <w:tblPrEx>
          <w:tblW w:w="10000" w:type="dxa"/>
          <w:tblLayout w:type="fixed"/>
          <w:tblCellMar>
            <w:top w:w="0" w:type="dxa"/>
            <w:left w:w="108" w:type="dxa"/>
            <w:bottom w:w="0" w:type="dxa"/>
            <w:right w:w="108" w:type="dxa"/>
          </w:tblCellMar>
        </w:tblPrEx>
        <w:trPr>
          <w:cantSplit/>
          <w:tblHeader/>
        </w:trPr>
        <w:tc>
          <w:tcPr>
            <w:tcW w:w="833"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color w:val="000000"/>
                <w:sz w:val="21"/>
              </w:rPr>
              <w:t>问题与建议（每条问题和建议不少于30个字）</w:t>
            </w:r>
          </w:p>
        </w:tc>
        <w:tc>
          <w:tcPr>
            <w:tcW w:w="833"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问题类型</w:t>
            </w:r>
          </w:p>
        </w:tc>
        <w:tc>
          <w:tcPr>
            <w:tcW w:w="833" w:type="dxa"/>
            <w:gridSpan w:val="3"/>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存在问题</w:t>
            </w:r>
          </w:p>
        </w:tc>
        <w:tc>
          <w:tcPr>
            <w:tcW w:w="833" w:type="dxa"/>
            <w:gridSpan w:val="5"/>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改进建议</w:t>
            </w:r>
          </w:p>
        </w:tc>
      </w:tr>
      <w:tr>
        <w:tblPrEx>
          <w:tblW w:w="10000" w:type="dxa"/>
          <w:tblLayout w:type="fixed"/>
          <w:tblCellMar>
            <w:top w:w="0" w:type="dxa"/>
            <w:left w:w="108" w:type="dxa"/>
            <w:bottom w:w="0" w:type="dxa"/>
            <w:right w:w="108" w:type="dxa"/>
          </w:tblCellMar>
        </w:tblPrEx>
        <w:trPr>
          <w:cantSplit/>
          <w:tblHeader/>
        </w:trPr>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r>
    </w:tbl>
    <w:p/>
    <w:p>
      <w:pPr>
        <w:pStyle w:val="MsoNormal"/>
        <w:widowControl/>
        <w:spacing w:before="240" w:after="240"/>
        <w:jc w:val="left"/>
        <w:rPr>
          <w:rFonts w:ascii="Times New Roman" w:eastAsia="Times New Roman" w:hAnsi="Times New Roman" w:cs="Times New Roman"/>
          <w:kern w:val="0"/>
          <w:sz w:val="24"/>
        </w:rPr>
      </w:pPr>
    </w:p>
    <w:p>
      <w:pPr>
        <w:pStyle w:val="15"/>
        <w:widowControl/>
        <w:spacing w:before="240" w:after="240" w:line="560" w:lineRule="atLeast"/>
        <w:ind w:firstLine="640"/>
        <w:jc w:val="left"/>
        <w:rPr>
          <w:rFonts w:ascii="Times New Roman" w:eastAsia="Times New Roman" w:hAnsi="Times New Roman" w:cs="Times New Roman"/>
          <w:kern w:val="0"/>
          <w:sz w:val="24"/>
        </w:rPr>
      </w:pPr>
      <w:r>
        <w:rPr>
          <w:rFonts w:ascii="SimHei" w:eastAsia="SimHei" w:hAnsi="SimHei" w:cs="SimHei"/>
          <w:kern w:val="0"/>
          <w:sz w:val="32"/>
          <w:szCs w:val="32"/>
        </w:rPr>
        <w:t>二、《项目支出绩效评价报告》</w:t>
      </w:r>
    </w:p>
    <w:p w14:paraId="057F56ED">
      <w:pPr>
        <w:rPr>
          <w:rFonts w:ascii="仿宋" w:eastAsia="仿宋" w:hAnsi="仿宋" w:hint="eastAsia"/>
          <w:sz w:val="32"/>
          <w:szCs w:val="32"/>
          <w:lang w:eastAsia="zh-CN"/>
        </w:rPr>
      </w:pPr>
      <w:r>
        <w:rPr>
          <w:rFonts w:ascii="仿宋" w:eastAsia="仿宋" w:hAnsi="仿宋" w:hint="eastAsia"/>
          <w:sz w:val="28"/>
          <w:szCs w:val="32"/>
        </w:rPr>
        <w:t>附件</w:t>
      </w:r>
      <w:r>
        <w:rPr>
          <w:rFonts w:ascii="仿宋" w:eastAsia="仿宋" w:hAnsi="仿宋" w:hint="eastAsia"/>
          <w:sz w:val="28"/>
          <w:szCs w:val="32"/>
          <w:lang w:val="en-US" w:eastAsia="zh-CN"/>
        </w:rPr>
        <w:t>1</w:t>
      </w:r>
    </w:p>
    <w:p w14:paraId="01367DE5">
      <w:pPr>
        <w:ind w:firstLine="420"/>
        <w:jc w:val="center"/>
        <w:rPr>
          <w:rFonts w:ascii="宋体" w:hAnsi="宋体" w:cs="仿宋"/>
          <w:b/>
          <w:sz w:val="44"/>
          <w:szCs w:val="44"/>
        </w:rPr>
      </w:pPr>
      <w:r>
        <w:rPr>
          <w:rFonts w:ascii="宋体" w:hAnsi="宋体" w:cs="仿宋" w:hint="eastAsia"/>
          <w:b/>
          <w:sz w:val="44"/>
          <w:szCs w:val="44"/>
        </w:rPr>
        <w:t>2025年度</w:t>
      </w:r>
      <w:r>
        <w:rPr>
          <w:rFonts w:ascii="宋体" w:eastAsia="宋体" w:hAnsi="宋体" w:cs="宋体"/>
          <w:b/>
          <w:sz w:val="44"/>
        </w:rPr>
        <w:t>县级预算项目绩效自评报告</w:t>
      </w:r>
    </w:p>
    <w:p w14:paraId="22886BB9">
      <w:pPr>
        <w:ind w:firstLine="640" w:firstLineChars="20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专项业务费</w:t>
      </w:r>
      <w:r>
        <w:rPr>
          <w:rFonts w:ascii="仿宋" w:eastAsia="仿宋" w:hAnsi="仿宋" w:hint="eastAsia"/>
          <w:sz w:val="32"/>
          <w:szCs w:val="32"/>
        </w:rPr>
        <w:t>）</w:t>
      </w:r>
    </w:p>
    <w:p w14:paraId="66994E28">
      <w:pPr>
        <w:ind w:firstLine="627" w:firstLineChars="196"/>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pPr>
        <w:ind w:firstLine="640" w:firstLineChars="200"/>
        <w:rPr>
          <w:rFonts w:ascii="仿宋" w:eastAsia="仿宋" w:hAnsi="仿宋"/>
          <w:sz w:val="32"/>
          <w:szCs w:val="32"/>
        </w:rPr>
      </w:pPr>
      <w:r>
        <w:rPr>
          <w:rFonts w:ascii="仿宋" w:eastAsia="仿宋" w:hAnsi="仿宋" w:hint="eastAsia"/>
          <w:b/>
          <w:sz w:val="32"/>
          <w:szCs w:val="32"/>
        </w:rPr>
        <w:t>（一）项目概况</w:t>
      </w:r>
    </w:p>
    <w:p w14:paraId="2C6F0EDB">
      <w:pPr>
        <w:ind w:firstLine="1472" w:firstLineChars="460"/>
        <w:rPr>
          <w:rFonts w:ascii="仿宋" w:eastAsia="仿宋" w:hAnsi="仿宋"/>
          <w:sz w:val="32"/>
          <w:szCs w:val="32"/>
        </w:rPr>
      </w:pPr>
      <w:r>
        <w:rPr>
          <w:rFonts w:ascii="仿宋" w:eastAsia="仿宋" w:hAnsi="仿宋" w:hint="eastAsia"/>
          <w:sz w:val="32"/>
          <w:szCs w:val="32"/>
        </w:rPr>
        <w:t>社工（信访维稳）工作经费</w:t>
      </w:r>
      <w:r>
        <w:rPr>
          <w:rFonts w:ascii="仿宋" w:eastAsia="仿宋" w:hAnsi="仿宋" w:cs="仿宋"/>
          <w:sz w:val="32"/>
        </w:rPr>
        <w:t xml:space="preserve"> </w:t>
      </w:r>
    </w:p>
    <w:p w14:paraId="3B99B2DD">
      <w:pPr>
        <w:ind w:firstLine="640" w:firstLineChars="200"/>
        <w:rPr>
          <w:rFonts w:ascii="仿宋" w:eastAsia="仿宋" w:hAnsi="仿宋"/>
          <w:sz w:val="32"/>
          <w:szCs w:val="32"/>
        </w:rPr>
      </w:pPr>
      <w:r>
        <w:rPr>
          <w:rFonts w:ascii="仿宋" w:eastAsia="仿宋" w:hAnsi="仿宋" w:hint="eastAsia"/>
          <w:b/>
          <w:sz w:val="32"/>
          <w:szCs w:val="32"/>
        </w:rPr>
        <w:t>（二）主要成效</w:t>
      </w:r>
    </w:p>
    <w:p w14:paraId="126F90D2">
      <w:pPr>
        <w:ind w:firstLine="640" w:firstLineChars="200"/>
        <w:rPr>
          <w:rFonts w:ascii="仿宋" w:eastAsia="仿宋" w:hAnsi="仿宋"/>
          <w:sz w:val="32"/>
          <w:szCs w:val="32"/>
        </w:rPr>
      </w:pPr>
      <w:r>
        <w:rPr>
          <w:rFonts w:ascii="仿宋" w:eastAsia="仿宋" w:hAnsi="仿宋" w:hint="eastAsia"/>
          <w:sz w:val="32"/>
          <w:szCs w:val="32"/>
        </w:rPr>
        <w:t>坚决扛起政治责任，圆满完成中央巡视组移交我县的全部信访事项办理工作。中央巡视组共移交我县83件信访事项，总量为全市最少，实现及时受理率、按期反馈率、回访率均达100%。用心用情推动群众合理诉求实质性化解，合理、部分合理诉求的化解率在全市率先达100%。省委巡视组截至目前共移交我县3件信访事项，全市（县（市、区））巡视交办件数为全市最少。</w:t>
      </w:r>
    </w:p>
    <w:p w14:paraId="5D13752B">
      <w:pPr>
        <w:ind w:firstLine="627" w:firstLineChars="196"/>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pPr>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eastAsia="仿宋_GB2312" w:hAnsi="仿宋_GB2312" w:cs="仿宋_GB2312"/>
          <w:sz w:val="32"/>
        </w:rPr>
        <w:t>99.86分，等级为优，设置绩效目标6个，实际完成5个，具体情况如下：</w:t>
      </w:r>
    </w:p>
    <w:p w14:paraId="70903495">
      <w:pPr>
        <w:spacing w:line="620" w:lineRule="exact"/>
        <w:ind w:left="420" w:leftChars="200"/>
        <w:rPr>
          <w:rFonts w:ascii="仿宋" w:eastAsia="仿宋" w:hAnsi="仿宋"/>
          <w:sz w:val="32"/>
          <w:szCs w:val="32"/>
        </w:rPr>
      </w:pPr>
      <w:r>
        <w:rPr>
          <w:rFonts w:ascii="仿宋_GB2312" w:eastAsia="仿宋_GB2312" w:hAnsi="仿宋_GB2312" w:cs="仿宋_GB2312"/>
          <w:b/>
          <w:sz w:val="32"/>
        </w:rPr>
        <w:t>(二) 成本指标</w:t>
      </w:r>
    </w:p>
    <w:p w14:paraId="673E2D3D">
      <w:pPr>
        <w:spacing w:line="620" w:lineRule="exact"/>
        <w:ind w:left="420" w:leftChars="200"/>
        <w:rPr>
          <w:rFonts w:ascii="仿宋" w:eastAsia="仿宋" w:hAnsi="仿宋"/>
          <w:sz w:val="32"/>
          <w:szCs w:val="32"/>
        </w:rPr>
      </w:pPr>
      <w:r>
        <w:rPr>
          <w:rFonts w:ascii="仿宋_GB2312" w:eastAsia="仿宋_GB2312" w:hAnsi="仿宋_GB2312" w:cs="仿宋_GB2312"/>
          <w:b/>
          <w:sz w:val="32"/>
        </w:rPr>
        <w:t>1、经济成本指标</w:t>
      </w:r>
    </w:p>
    <w:p w14:paraId="575A79C4">
      <w:pPr>
        <w:spacing w:line="620" w:lineRule="exact"/>
        <w:ind w:left="420" w:leftChars="200"/>
        <w:rPr>
          <w:rFonts w:ascii="仿宋" w:eastAsia="仿宋" w:hAnsi="仿宋"/>
          <w:sz w:val="32"/>
          <w:szCs w:val="32"/>
        </w:rPr>
      </w:pPr>
      <w:r>
        <w:rPr>
          <w:rFonts w:ascii="仿宋_GB2312" w:eastAsia="仿宋_GB2312" w:hAnsi="仿宋_GB2312" w:cs="仿宋_GB2312"/>
          <w:sz w:val="32"/>
        </w:rPr>
        <w:t>1)部门业务费</w:t>
      </w:r>
      <w:r>
        <w:rPr>
          <w:rFonts w:ascii="仿宋" w:eastAsia="仿宋" w:hAnsi="仿宋" w:cs="仿宋"/>
          <w:sz w:val="32"/>
        </w:rPr>
        <w:t>(万元)，目标值32，完成值32，分值10，得分10</w:t>
      </w:r>
      <w:r>
        <w:rPr>
          <w:rFonts w:ascii="仿宋" w:eastAsia="仿宋" w:hAnsi="仿宋" w:hint="eastAsia"/>
          <w:sz w:val="32"/>
          <w:szCs w:val="32"/>
        </w:rPr>
        <w:t>。</w:t>
      </w:r>
    </w:p>
    <w:p w14:paraId="64C4CDC2">
      <w:pPr>
        <w:spacing w:line="620" w:lineRule="exact"/>
        <w:ind w:left="420" w:leftChars="200"/>
        <w:rPr>
          <w:rFonts w:ascii="仿宋" w:eastAsia="仿宋" w:hAnsi="仿宋"/>
          <w:sz w:val="32"/>
          <w:szCs w:val="32"/>
        </w:rPr>
      </w:pPr>
      <w:r>
        <w:rPr>
          <w:rFonts w:ascii="仿宋_GB2312" w:eastAsia="仿宋_GB2312" w:hAnsi="仿宋_GB2312" w:cs="仿宋_GB2312"/>
          <w:b/>
          <w:sz w:val="32"/>
        </w:rPr>
        <w:t>2、社会成本指标</w:t>
      </w:r>
    </w:p>
    <w:p w14:paraId="30D4D803">
      <w:pPr>
        <w:spacing w:line="620" w:lineRule="exact"/>
        <w:ind w:left="420" w:leftChars="200"/>
        <w:rPr>
          <w:rFonts w:ascii="仿宋" w:eastAsia="仿宋" w:hAnsi="仿宋"/>
          <w:sz w:val="32"/>
          <w:szCs w:val="32"/>
        </w:rPr>
      </w:pPr>
      <w:r>
        <w:rPr>
          <w:rFonts w:ascii="仿宋_GB2312" w:eastAsia="仿宋_GB2312" w:hAnsi="仿宋_GB2312" w:cs="仿宋_GB2312"/>
          <w:b/>
          <w:sz w:val="32"/>
        </w:rPr>
        <w:t>3、生态环境成本指标</w:t>
      </w:r>
    </w:p>
    <w:p w14:paraId="44958629">
      <w:pPr>
        <w:spacing w:line="620" w:lineRule="exact"/>
        <w:ind w:left="420" w:leftChars="200"/>
        <w:rPr>
          <w:rFonts w:ascii="仿宋" w:eastAsia="仿宋" w:hAnsi="仿宋"/>
          <w:sz w:val="32"/>
          <w:szCs w:val="32"/>
        </w:rPr>
      </w:pPr>
      <w:r>
        <w:rPr>
          <w:rFonts w:ascii="仿宋_GB2312" w:eastAsia="仿宋_GB2312" w:hAnsi="仿宋_GB2312" w:cs="仿宋_GB2312"/>
          <w:b/>
          <w:sz w:val="32"/>
        </w:rPr>
        <w:t>(一) 产出指标</w:t>
      </w:r>
    </w:p>
    <w:p w14:paraId="162E26CC">
      <w:pPr>
        <w:spacing w:line="620" w:lineRule="exact"/>
        <w:ind w:left="420" w:leftChars="200"/>
        <w:rPr>
          <w:rFonts w:ascii="仿宋" w:eastAsia="仿宋" w:hAnsi="仿宋"/>
          <w:sz w:val="32"/>
          <w:szCs w:val="32"/>
        </w:rPr>
      </w:pPr>
      <w:r>
        <w:rPr>
          <w:rFonts w:ascii="仿宋_GB2312" w:eastAsia="仿宋_GB2312" w:hAnsi="仿宋_GB2312" w:cs="仿宋_GB2312"/>
          <w:b/>
          <w:sz w:val="32"/>
        </w:rPr>
        <w:t>1、数量指标</w:t>
      </w:r>
    </w:p>
    <w:p w14:paraId="6E58C045">
      <w:pPr>
        <w:spacing w:line="620" w:lineRule="exact"/>
        <w:ind w:left="420" w:leftChars="200"/>
        <w:rPr>
          <w:rFonts w:ascii="仿宋" w:eastAsia="仿宋" w:hAnsi="仿宋"/>
          <w:sz w:val="32"/>
          <w:szCs w:val="32"/>
        </w:rPr>
      </w:pPr>
      <w:r>
        <w:rPr>
          <w:rFonts w:ascii="仿宋_GB2312" w:eastAsia="仿宋_GB2312" w:hAnsi="仿宋_GB2312" w:cs="仿宋_GB2312"/>
          <w:sz w:val="32"/>
        </w:rPr>
        <w:t>1)处理信访件数量</w:t>
      </w:r>
      <w:r>
        <w:rPr>
          <w:rFonts w:ascii="仿宋" w:eastAsia="仿宋" w:hAnsi="仿宋" w:cs="仿宋"/>
          <w:sz w:val="32"/>
        </w:rPr>
        <w:t>(件)，目标值210，完成值208，分值15，得分14.86</w:t>
      </w:r>
      <w:r>
        <w:rPr>
          <w:rFonts w:ascii="仿宋" w:eastAsia="仿宋" w:hAnsi="仿宋" w:hint="eastAsia"/>
          <w:sz w:val="32"/>
          <w:szCs w:val="32"/>
        </w:rPr>
        <w:t>。</w:t>
      </w:r>
    </w:p>
    <w:p w14:paraId="621E75A1">
      <w:pPr>
        <w:spacing w:line="620" w:lineRule="exact"/>
        <w:ind w:left="420" w:leftChars="200"/>
        <w:rPr>
          <w:rFonts w:ascii="仿宋" w:eastAsia="仿宋" w:hAnsi="仿宋"/>
          <w:sz w:val="32"/>
          <w:szCs w:val="32"/>
        </w:rPr>
      </w:pPr>
      <w:r>
        <w:rPr>
          <w:rFonts w:ascii="仿宋_GB2312" w:eastAsia="仿宋_GB2312" w:hAnsi="仿宋_GB2312" w:cs="仿宋_GB2312"/>
          <w:b/>
          <w:sz w:val="32"/>
        </w:rPr>
        <w:t>2、质量指标</w:t>
      </w:r>
    </w:p>
    <w:p w14:paraId="4684F0C0">
      <w:pPr>
        <w:spacing w:line="620" w:lineRule="exact"/>
        <w:ind w:left="420" w:leftChars="200"/>
        <w:rPr>
          <w:rFonts w:ascii="仿宋" w:eastAsia="仿宋" w:hAnsi="仿宋"/>
          <w:sz w:val="32"/>
          <w:szCs w:val="32"/>
        </w:rPr>
      </w:pPr>
      <w:r>
        <w:rPr>
          <w:rFonts w:ascii="仿宋_GB2312" w:eastAsia="仿宋_GB2312" w:hAnsi="仿宋_GB2312" w:cs="仿宋_GB2312"/>
          <w:sz w:val="32"/>
        </w:rPr>
        <w:t>1)信访件受理率</w:t>
      </w:r>
      <w:r>
        <w:rPr>
          <w:rFonts w:ascii="仿宋" w:eastAsia="仿宋" w:hAnsi="仿宋" w:cs="仿宋"/>
          <w:sz w:val="32"/>
        </w:rPr>
        <w:t>(%)，目标值98，完成值100，分值10，得分10</w:t>
      </w:r>
      <w:r>
        <w:rPr>
          <w:rFonts w:ascii="仿宋" w:eastAsia="仿宋" w:hAnsi="仿宋" w:hint="eastAsia"/>
          <w:sz w:val="32"/>
          <w:szCs w:val="32"/>
        </w:rPr>
        <w:t>。</w:t>
      </w:r>
    </w:p>
    <w:p w14:paraId="1D906584">
      <w:pPr>
        <w:spacing w:line="620" w:lineRule="exact"/>
        <w:ind w:left="420" w:leftChars="200"/>
        <w:rPr>
          <w:rFonts w:ascii="仿宋" w:eastAsia="仿宋" w:hAnsi="仿宋"/>
          <w:sz w:val="32"/>
          <w:szCs w:val="32"/>
        </w:rPr>
      </w:pPr>
      <w:r>
        <w:rPr>
          <w:rFonts w:ascii="仿宋_GB2312" w:eastAsia="仿宋_GB2312" w:hAnsi="仿宋_GB2312" w:cs="仿宋_GB2312"/>
          <w:b/>
          <w:sz w:val="32"/>
        </w:rPr>
        <w:t>3、时效指标</w:t>
      </w:r>
    </w:p>
    <w:p w14:paraId="0EF950A6">
      <w:pPr>
        <w:spacing w:line="620" w:lineRule="exact"/>
        <w:ind w:left="420" w:leftChars="200"/>
        <w:rPr>
          <w:rFonts w:ascii="仿宋" w:eastAsia="仿宋" w:hAnsi="仿宋"/>
          <w:sz w:val="32"/>
          <w:szCs w:val="32"/>
        </w:rPr>
      </w:pPr>
      <w:r>
        <w:rPr>
          <w:rFonts w:ascii="仿宋_GB2312" w:eastAsia="仿宋_GB2312" w:hAnsi="仿宋_GB2312" w:cs="仿宋_GB2312"/>
          <w:sz w:val="32"/>
        </w:rPr>
        <w:t>1)资金到位及时率</w:t>
      </w:r>
      <w:r>
        <w:rPr>
          <w:rFonts w:ascii="仿宋" w:eastAsia="仿宋" w:hAnsi="仿宋" w:cs="仿宋"/>
          <w:sz w:val="32"/>
        </w:rPr>
        <w:t>(%)，目标值100，完成值100，分值15，得分15</w:t>
      </w:r>
      <w:r>
        <w:rPr>
          <w:rFonts w:ascii="仿宋" w:eastAsia="仿宋" w:hAnsi="仿宋" w:hint="eastAsia"/>
          <w:sz w:val="32"/>
          <w:szCs w:val="32"/>
        </w:rPr>
        <w:t>。</w:t>
      </w:r>
    </w:p>
    <w:p w14:paraId="0E92ABCD">
      <w:pPr>
        <w:spacing w:line="620" w:lineRule="exact"/>
        <w:ind w:left="420" w:leftChars="200"/>
        <w:rPr>
          <w:rFonts w:ascii="仿宋" w:eastAsia="仿宋" w:hAnsi="仿宋"/>
          <w:sz w:val="32"/>
          <w:szCs w:val="32"/>
        </w:rPr>
      </w:pPr>
      <w:r>
        <w:rPr>
          <w:rFonts w:ascii="仿宋_GB2312" w:eastAsia="仿宋_GB2312" w:hAnsi="仿宋_GB2312" w:cs="仿宋_GB2312"/>
          <w:b/>
          <w:sz w:val="32"/>
        </w:rPr>
        <w:t>(三) 效益指标</w:t>
      </w:r>
    </w:p>
    <w:p w14:paraId="7B868D66">
      <w:pPr>
        <w:spacing w:line="620" w:lineRule="exact"/>
        <w:ind w:left="420" w:leftChars="200"/>
        <w:rPr>
          <w:rFonts w:ascii="仿宋" w:eastAsia="仿宋" w:hAnsi="仿宋"/>
          <w:sz w:val="32"/>
          <w:szCs w:val="32"/>
        </w:rPr>
      </w:pPr>
      <w:r>
        <w:rPr>
          <w:rFonts w:ascii="仿宋_GB2312" w:eastAsia="仿宋_GB2312" w:hAnsi="仿宋_GB2312" w:cs="仿宋_GB2312"/>
          <w:b/>
          <w:sz w:val="32"/>
        </w:rPr>
        <w:t>1、经济效益指标</w:t>
      </w:r>
    </w:p>
    <w:p w14:paraId="5E9C3273">
      <w:pPr>
        <w:spacing w:line="620" w:lineRule="exact"/>
        <w:ind w:left="420" w:leftChars="200"/>
        <w:rPr>
          <w:rFonts w:ascii="仿宋" w:eastAsia="仿宋" w:hAnsi="仿宋"/>
          <w:sz w:val="32"/>
          <w:szCs w:val="32"/>
        </w:rPr>
      </w:pPr>
      <w:r>
        <w:rPr>
          <w:rFonts w:ascii="仿宋_GB2312" w:eastAsia="仿宋_GB2312" w:hAnsi="仿宋_GB2312" w:cs="仿宋_GB2312"/>
          <w:b/>
          <w:sz w:val="32"/>
        </w:rPr>
        <w:t>2、社会效益指标</w:t>
      </w:r>
    </w:p>
    <w:p w14:paraId="64CF49DF">
      <w:pPr>
        <w:spacing w:line="620" w:lineRule="exact"/>
        <w:ind w:left="420" w:leftChars="200"/>
        <w:rPr>
          <w:rFonts w:ascii="仿宋" w:eastAsia="仿宋" w:hAnsi="仿宋"/>
          <w:sz w:val="32"/>
          <w:szCs w:val="32"/>
        </w:rPr>
      </w:pPr>
      <w:r>
        <w:rPr>
          <w:rFonts w:ascii="仿宋_GB2312" w:eastAsia="仿宋_GB2312" w:hAnsi="仿宋_GB2312" w:cs="仿宋_GB2312"/>
          <w:sz w:val="32"/>
        </w:rPr>
        <w:t>1)信访投诉办结率</w:t>
      </w:r>
      <w:r>
        <w:rPr>
          <w:rFonts w:ascii="仿宋" w:eastAsia="仿宋" w:hAnsi="仿宋" w:cs="仿宋"/>
          <w:sz w:val="32"/>
        </w:rPr>
        <w:t>(%)，目标值98，完成值100，分值30，得分30</w:t>
      </w:r>
      <w:r>
        <w:rPr>
          <w:rFonts w:ascii="仿宋" w:eastAsia="仿宋" w:hAnsi="仿宋" w:hint="eastAsia"/>
          <w:sz w:val="32"/>
          <w:szCs w:val="32"/>
        </w:rPr>
        <w:t>。</w:t>
      </w:r>
    </w:p>
    <w:p w14:paraId="46A5021E">
      <w:pPr>
        <w:spacing w:line="620" w:lineRule="exact"/>
        <w:ind w:left="420" w:leftChars="200"/>
        <w:rPr>
          <w:rFonts w:ascii="仿宋" w:eastAsia="仿宋" w:hAnsi="仿宋"/>
          <w:sz w:val="32"/>
          <w:szCs w:val="32"/>
        </w:rPr>
      </w:pPr>
      <w:r>
        <w:rPr>
          <w:rFonts w:ascii="仿宋_GB2312" w:eastAsia="仿宋_GB2312" w:hAnsi="仿宋_GB2312" w:cs="仿宋_GB2312"/>
          <w:b/>
          <w:sz w:val="32"/>
        </w:rPr>
        <w:t>3、生态效益指标</w:t>
      </w:r>
    </w:p>
    <w:p w14:paraId="772818B7">
      <w:pPr>
        <w:spacing w:line="620" w:lineRule="exact"/>
        <w:ind w:left="420" w:leftChars="200"/>
        <w:rPr>
          <w:rFonts w:ascii="仿宋" w:eastAsia="仿宋" w:hAnsi="仿宋"/>
          <w:sz w:val="32"/>
          <w:szCs w:val="32"/>
        </w:rPr>
      </w:pPr>
      <w:r>
        <w:rPr>
          <w:rFonts w:ascii="仿宋_GB2312" w:eastAsia="仿宋_GB2312" w:hAnsi="仿宋_GB2312" w:cs="仿宋_GB2312"/>
          <w:b/>
          <w:sz w:val="32"/>
        </w:rPr>
        <w:t>(四) 满意度指标</w:t>
      </w:r>
    </w:p>
    <w:p w14:paraId="296521FE">
      <w:pPr>
        <w:spacing w:line="620" w:lineRule="exact"/>
        <w:ind w:left="420" w:leftChars="200"/>
        <w:rPr>
          <w:rFonts w:ascii="仿宋" w:eastAsia="仿宋" w:hAnsi="仿宋"/>
          <w:sz w:val="32"/>
          <w:szCs w:val="32"/>
        </w:rPr>
      </w:pPr>
      <w:r>
        <w:rPr>
          <w:rFonts w:ascii="仿宋_GB2312" w:eastAsia="仿宋_GB2312" w:hAnsi="仿宋_GB2312" w:cs="仿宋_GB2312"/>
          <w:b/>
          <w:sz w:val="32"/>
        </w:rPr>
        <w:t>1、服务对象满意度指标</w:t>
      </w:r>
    </w:p>
    <w:p w14:paraId="6084B828">
      <w:pPr>
        <w:spacing w:line="620" w:lineRule="exact"/>
        <w:ind w:left="420" w:leftChars="200"/>
        <w:rPr>
          <w:rFonts w:ascii="仿宋" w:eastAsia="仿宋" w:hAnsi="仿宋"/>
          <w:sz w:val="32"/>
          <w:szCs w:val="32"/>
        </w:rPr>
      </w:pPr>
      <w:r>
        <w:rPr>
          <w:rFonts w:ascii="仿宋_GB2312" w:eastAsia="仿宋_GB2312" w:hAnsi="仿宋_GB2312" w:cs="仿宋_GB2312"/>
          <w:sz w:val="32"/>
        </w:rPr>
        <w:t>1)群众对办理信访事项满意率</w:t>
      </w:r>
      <w:r>
        <w:rPr>
          <w:rFonts w:ascii="仿宋" w:eastAsia="仿宋" w:hAnsi="仿宋" w:cs="仿宋"/>
          <w:sz w:val="32"/>
        </w:rPr>
        <w:t>(%)，目标值98，完成值100，分值10，得分10</w:t>
      </w:r>
      <w:r>
        <w:rPr>
          <w:rFonts w:ascii="仿宋" w:eastAsia="仿宋" w:hAnsi="仿宋" w:hint="eastAsia"/>
          <w:sz w:val="32"/>
          <w:szCs w:val="32"/>
        </w:rPr>
        <w:t>。</w:t>
      </w:r>
    </w:p>
    <w:p w14:paraId="4E3A4CAF">
      <w:pPr>
        <w:tabs>
          <w:tab w:val="left" w:pos="2244"/>
        </w:tabs>
        <w:spacing w:line="620" w:lineRule="exact"/>
        <w:ind w:left="1890" w:leftChars="900"/>
        <w:rPr>
          <w:rFonts w:ascii="仿宋" w:eastAsia="仿宋" w:hAnsi="仿宋"/>
          <w:b/>
          <w:color w:val="FF0000"/>
          <w:sz w:val="32"/>
          <w:szCs w:val="32"/>
        </w:rPr>
      </w:pPr>
    </w:p>
    <w:p w14:paraId="470751B7">
      <w:pPr>
        <w:rPr>
          <w:rFonts w:ascii="仿宋" w:eastAsia="仿宋" w:hAnsi="仿宋" w:hint="eastAsia"/>
          <w:sz w:val="32"/>
          <w:szCs w:val="32"/>
          <w:lang w:eastAsia="zh-CN"/>
        </w:rPr>
      </w:pPr>
      <w:r>
        <w:rPr>
          <w:rFonts w:ascii="仿宋" w:eastAsia="仿宋" w:hAnsi="仿宋" w:hint="eastAsia"/>
          <w:sz w:val="28"/>
          <w:szCs w:val="32"/>
        </w:rPr>
        <w:t>附件</w:t>
      </w:r>
      <w:r>
        <w:rPr>
          <w:rFonts w:ascii="仿宋" w:eastAsia="仿宋" w:hAnsi="仿宋" w:hint="eastAsia"/>
          <w:sz w:val="28"/>
          <w:szCs w:val="32"/>
          <w:lang w:val="en-US" w:eastAsia="zh-CN"/>
        </w:rPr>
        <w:t>2</w:t>
      </w:r>
    </w:p>
    <w:p w14:paraId="2B3F71ED">
      <w:pPr>
        <w:ind w:firstLine="420"/>
        <w:jc w:val="center"/>
        <w:rPr>
          <w:rFonts w:ascii="宋体" w:hAnsi="宋体" w:cs="仿宋"/>
          <w:b/>
          <w:sz w:val="44"/>
          <w:szCs w:val="44"/>
        </w:rPr>
      </w:pPr>
      <w:r>
        <w:rPr>
          <w:rFonts w:ascii="宋体" w:hAnsi="宋体" w:cs="仿宋" w:hint="eastAsia"/>
          <w:b/>
          <w:sz w:val="44"/>
          <w:szCs w:val="44"/>
        </w:rPr>
        <w:t>2025年度</w:t>
      </w:r>
      <w:r>
        <w:rPr>
          <w:rFonts w:ascii="宋体" w:eastAsia="宋体" w:hAnsi="宋体" w:cs="宋体"/>
          <w:b/>
          <w:sz w:val="44"/>
        </w:rPr>
        <w:t>县级预算项目绩效自评报告</w:t>
      </w:r>
    </w:p>
    <w:p w14:paraId="1070FDEE">
      <w:pPr>
        <w:ind w:firstLine="640" w:firstLineChars="20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信访维稳基金</w:t>
      </w:r>
      <w:r>
        <w:rPr>
          <w:rFonts w:ascii="仿宋" w:eastAsia="仿宋" w:hAnsi="仿宋" w:hint="eastAsia"/>
          <w:sz w:val="32"/>
          <w:szCs w:val="32"/>
        </w:rPr>
        <w:t>）</w:t>
      </w:r>
    </w:p>
    <w:p w14:paraId="0447C240">
      <w:pPr>
        <w:ind w:firstLine="627" w:firstLineChars="196"/>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530C56E">
      <w:pPr>
        <w:ind w:firstLine="640" w:firstLineChars="200"/>
        <w:rPr>
          <w:rFonts w:ascii="仿宋" w:eastAsia="仿宋" w:hAnsi="仿宋"/>
          <w:sz w:val="32"/>
          <w:szCs w:val="32"/>
        </w:rPr>
      </w:pPr>
      <w:r>
        <w:rPr>
          <w:rFonts w:ascii="仿宋" w:eastAsia="仿宋" w:hAnsi="仿宋" w:hint="eastAsia"/>
          <w:b/>
          <w:sz w:val="32"/>
          <w:szCs w:val="32"/>
        </w:rPr>
        <w:t>（一）项目概况</w:t>
      </w:r>
    </w:p>
    <w:p w14:paraId="5A133166">
      <w:pPr>
        <w:ind w:firstLine="1472" w:firstLineChars="460"/>
        <w:rPr>
          <w:rFonts w:ascii="仿宋" w:eastAsia="仿宋" w:hAnsi="仿宋"/>
          <w:sz w:val="32"/>
          <w:szCs w:val="32"/>
        </w:rPr>
      </w:pPr>
      <w:r>
        <w:rPr>
          <w:rFonts w:ascii="仿宋" w:eastAsia="仿宋" w:hAnsi="仿宋" w:hint="eastAsia"/>
          <w:sz w:val="32"/>
          <w:szCs w:val="32"/>
        </w:rPr>
        <w:t>信访维稳基金</w:t>
      </w:r>
      <w:r>
        <w:rPr>
          <w:rFonts w:ascii="仿宋" w:eastAsia="仿宋" w:hAnsi="仿宋" w:cs="仿宋"/>
          <w:sz w:val="32"/>
        </w:rPr>
        <w:t xml:space="preserve"> </w:t>
      </w:r>
    </w:p>
    <w:p w14:paraId="1B7ED469">
      <w:pPr>
        <w:ind w:firstLine="640" w:firstLineChars="200"/>
        <w:rPr>
          <w:rFonts w:ascii="仿宋" w:eastAsia="仿宋" w:hAnsi="仿宋"/>
          <w:sz w:val="32"/>
          <w:szCs w:val="32"/>
        </w:rPr>
      </w:pPr>
      <w:r>
        <w:rPr>
          <w:rFonts w:ascii="仿宋" w:eastAsia="仿宋" w:hAnsi="仿宋" w:hint="eastAsia"/>
          <w:b/>
          <w:sz w:val="32"/>
          <w:szCs w:val="32"/>
        </w:rPr>
        <w:t>（二）主要成效</w:t>
      </w:r>
    </w:p>
    <w:p w14:paraId="41C7E4B9">
      <w:pPr>
        <w:ind w:firstLine="1472" w:firstLineChars="460"/>
        <w:rPr>
          <w:rFonts w:ascii="仿宋" w:eastAsia="仿宋" w:hAnsi="仿宋"/>
          <w:sz w:val="32"/>
          <w:szCs w:val="32"/>
        </w:rPr>
      </w:pPr>
      <w:r>
        <w:rPr>
          <w:rFonts w:ascii="仿宋" w:eastAsia="仿宋" w:hAnsi="仿宋" w:hint="eastAsia"/>
          <w:sz w:val="32"/>
          <w:szCs w:val="32"/>
        </w:rPr>
        <w:t>坚决扛起政治责任，圆满完成中央巡视组移交我县的全部信访事项办理工作。中央巡视组共移交我县83件信访事项，总量为全市最少，实现及时受理率、按期反馈率、回访率均达100%。用心用情推动群众合理诉求实质性化解，合理、部分合理诉求的化解率在全市率先达100%。省委巡视组截至目前共移交我县3件信访事项，全市（县（市、区））巡视交办件数为全市最少。</w:t>
      </w:r>
    </w:p>
    <w:p w14:paraId="396938BE">
      <w:pPr>
        <w:ind w:firstLine="627" w:firstLineChars="196"/>
        <w:rPr>
          <w:rFonts w:ascii="黑体" w:eastAsia="黑体" w:hAnsi="黑体" w:cs="仿宋"/>
          <w:kern w:val="0"/>
          <w:sz w:val="32"/>
          <w:szCs w:val="32"/>
        </w:rPr>
      </w:pPr>
      <w:r>
        <w:rPr>
          <w:rFonts w:ascii="黑体" w:eastAsia="黑体" w:hAnsi="黑体" w:cs="仿宋" w:hint="eastAsia"/>
          <w:kern w:val="0"/>
          <w:sz w:val="32"/>
          <w:szCs w:val="32"/>
        </w:rPr>
        <w:t>二、绩效分析</w:t>
      </w:r>
    </w:p>
    <w:p w14:paraId="787E7823">
      <w:pPr>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eastAsia="仿宋_GB2312" w:hAnsi="仿宋_GB2312" w:cs="仿宋_GB2312"/>
          <w:sz w:val="32"/>
        </w:rPr>
        <w:t>99.69分，等级为优，设置绩效目标7个，实际完成7个，具体情况如下：</w:t>
      </w:r>
    </w:p>
    <w:p w14:paraId="5E27BB9B">
      <w:pPr>
        <w:spacing w:line="620" w:lineRule="exact"/>
        <w:ind w:left="420" w:leftChars="200"/>
        <w:rPr>
          <w:rFonts w:ascii="仿宋" w:eastAsia="仿宋" w:hAnsi="仿宋"/>
          <w:sz w:val="32"/>
          <w:szCs w:val="32"/>
        </w:rPr>
      </w:pPr>
      <w:r>
        <w:rPr>
          <w:rFonts w:ascii="仿宋_GB2312" w:eastAsia="仿宋_GB2312" w:hAnsi="仿宋_GB2312" w:cs="仿宋_GB2312"/>
          <w:b/>
          <w:sz w:val="32"/>
        </w:rPr>
        <w:t>(二) 成本指标</w:t>
      </w:r>
    </w:p>
    <w:p w14:paraId="6A9D0D9B">
      <w:pPr>
        <w:spacing w:line="620" w:lineRule="exact"/>
        <w:ind w:left="420" w:leftChars="200"/>
        <w:rPr>
          <w:rFonts w:ascii="仿宋" w:eastAsia="仿宋" w:hAnsi="仿宋"/>
          <w:sz w:val="32"/>
          <w:szCs w:val="32"/>
        </w:rPr>
      </w:pPr>
      <w:r>
        <w:rPr>
          <w:rFonts w:ascii="仿宋_GB2312" w:eastAsia="仿宋_GB2312" w:hAnsi="仿宋_GB2312" w:cs="仿宋_GB2312"/>
          <w:b/>
          <w:sz w:val="32"/>
        </w:rPr>
        <w:t>1、经济成本指标</w:t>
      </w:r>
    </w:p>
    <w:p w14:paraId="150878E7">
      <w:pPr>
        <w:spacing w:line="620" w:lineRule="exact"/>
        <w:ind w:left="420" w:leftChars="200"/>
        <w:rPr>
          <w:rFonts w:ascii="仿宋" w:eastAsia="仿宋" w:hAnsi="仿宋"/>
          <w:sz w:val="32"/>
          <w:szCs w:val="32"/>
        </w:rPr>
      </w:pPr>
      <w:r>
        <w:rPr>
          <w:rFonts w:ascii="仿宋_GB2312" w:eastAsia="仿宋_GB2312" w:hAnsi="仿宋_GB2312" w:cs="仿宋_GB2312"/>
          <w:sz w:val="32"/>
        </w:rPr>
        <w:t>1)信访维稳基金经费</w:t>
      </w:r>
      <w:r>
        <w:rPr>
          <w:rFonts w:ascii="仿宋" w:eastAsia="仿宋" w:hAnsi="仿宋" w:cs="仿宋"/>
          <w:sz w:val="32"/>
        </w:rPr>
        <w:t>(万元)，目标值9，完成值9，分值5，得分5</w:t>
      </w:r>
      <w:r>
        <w:rPr>
          <w:rFonts w:ascii="仿宋" w:eastAsia="仿宋" w:hAnsi="仿宋" w:hint="eastAsia"/>
          <w:sz w:val="32"/>
          <w:szCs w:val="32"/>
        </w:rPr>
        <w:t>。</w:t>
      </w:r>
    </w:p>
    <w:p w14:paraId="65383564">
      <w:pPr>
        <w:spacing w:line="620" w:lineRule="exact"/>
        <w:ind w:left="420" w:leftChars="200"/>
        <w:rPr>
          <w:rFonts w:ascii="仿宋" w:eastAsia="仿宋" w:hAnsi="仿宋"/>
          <w:sz w:val="32"/>
          <w:szCs w:val="32"/>
        </w:rPr>
      </w:pPr>
      <w:r>
        <w:rPr>
          <w:rFonts w:ascii="仿宋_GB2312" w:eastAsia="仿宋_GB2312" w:hAnsi="仿宋_GB2312" w:cs="仿宋_GB2312"/>
          <w:b/>
          <w:sz w:val="32"/>
        </w:rPr>
        <w:t>2、社会成本指标</w:t>
      </w:r>
    </w:p>
    <w:p w14:paraId="2CBB1806">
      <w:pPr>
        <w:spacing w:line="620" w:lineRule="exact"/>
        <w:ind w:left="420" w:leftChars="200"/>
        <w:rPr>
          <w:rFonts w:ascii="仿宋" w:eastAsia="仿宋" w:hAnsi="仿宋"/>
          <w:sz w:val="32"/>
          <w:szCs w:val="32"/>
        </w:rPr>
      </w:pPr>
      <w:r>
        <w:rPr>
          <w:rFonts w:ascii="仿宋_GB2312" w:eastAsia="仿宋_GB2312" w:hAnsi="仿宋_GB2312" w:cs="仿宋_GB2312"/>
          <w:sz w:val="32"/>
        </w:rPr>
        <w:t>1)化解信访疑难积案个案</w:t>
      </w:r>
      <w:r>
        <w:rPr>
          <w:rFonts w:ascii="仿宋" w:eastAsia="仿宋" w:hAnsi="仿宋" w:cs="仿宋"/>
          <w:sz w:val="32"/>
        </w:rPr>
        <w:t>(件)，目标值2，完成值19，分值5，得分5</w:t>
      </w:r>
      <w:r>
        <w:rPr>
          <w:rFonts w:ascii="仿宋" w:eastAsia="仿宋" w:hAnsi="仿宋" w:hint="eastAsia"/>
          <w:sz w:val="32"/>
          <w:szCs w:val="32"/>
        </w:rPr>
        <w:t>。</w:t>
      </w:r>
    </w:p>
    <w:p w14:paraId="4BA4B60E">
      <w:pPr>
        <w:spacing w:line="620" w:lineRule="exact"/>
        <w:ind w:left="420" w:leftChars="200"/>
        <w:rPr>
          <w:rFonts w:ascii="仿宋" w:eastAsia="仿宋" w:hAnsi="仿宋"/>
          <w:sz w:val="32"/>
          <w:szCs w:val="32"/>
        </w:rPr>
      </w:pPr>
      <w:r>
        <w:rPr>
          <w:rFonts w:ascii="仿宋_GB2312" w:eastAsia="仿宋_GB2312" w:hAnsi="仿宋_GB2312" w:cs="仿宋_GB2312"/>
          <w:b/>
          <w:sz w:val="32"/>
        </w:rPr>
        <w:t>3、生态环境成本指标</w:t>
      </w:r>
    </w:p>
    <w:p w14:paraId="1AC0C3F8">
      <w:pPr>
        <w:spacing w:line="620" w:lineRule="exact"/>
        <w:ind w:left="420" w:leftChars="200"/>
        <w:rPr>
          <w:rFonts w:ascii="仿宋" w:eastAsia="仿宋" w:hAnsi="仿宋"/>
          <w:sz w:val="32"/>
          <w:szCs w:val="32"/>
        </w:rPr>
      </w:pPr>
      <w:r>
        <w:rPr>
          <w:rFonts w:ascii="仿宋_GB2312" w:eastAsia="仿宋_GB2312" w:hAnsi="仿宋_GB2312" w:cs="仿宋_GB2312"/>
          <w:b/>
          <w:sz w:val="32"/>
        </w:rPr>
        <w:t>(一) 产出指标</w:t>
      </w:r>
    </w:p>
    <w:p w14:paraId="402810BE">
      <w:pPr>
        <w:spacing w:line="620" w:lineRule="exact"/>
        <w:ind w:left="420" w:leftChars="200"/>
        <w:rPr>
          <w:rFonts w:ascii="仿宋" w:eastAsia="仿宋" w:hAnsi="仿宋"/>
          <w:sz w:val="32"/>
          <w:szCs w:val="32"/>
        </w:rPr>
      </w:pPr>
      <w:r>
        <w:rPr>
          <w:rFonts w:ascii="仿宋_GB2312" w:eastAsia="仿宋_GB2312" w:hAnsi="仿宋_GB2312" w:cs="仿宋_GB2312"/>
          <w:b/>
          <w:sz w:val="32"/>
        </w:rPr>
        <w:t>1、数量指标</w:t>
      </w:r>
    </w:p>
    <w:p w14:paraId="568B6070">
      <w:pPr>
        <w:spacing w:line="620" w:lineRule="exact"/>
        <w:ind w:left="420" w:leftChars="200"/>
        <w:rPr>
          <w:rFonts w:ascii="仿宋" w:eastAsia="仿宋" w:hAnsi="仿宋"/>
          <w:sz w:val="32"/>
          <w:szCs w:val="32"/>
        </w:rPr>
      </w:pPr>
      <w:r>
        <w:rPr>
          <w:rFonts w:ascii="仿宋_GB2312" w:eastAsia="仿宋_GB2312" w:hAnsi="仿宋_GB2312" w:cs="仿宋_GB2312"/>
          <w:sz w:val="32"/>
        </w:rPr>
        <w:t>1)化解信访积案</w:t>
      </w:r>
      <w:r>
        <w:rPr>
          <w:rFonts w:ascii="仿宋" w:eastAsia="仿宋" w:hAnsi="仿宋" w:cs="仿宋"/>
          <w:sz w:val="32"/>
        </w:rPr>
        <w:t>(件)，目标值2，完成值19，分值12，得分12</w:t>
      </w:r>
      <w:r>
        <w:rPr>
          <w:rFonts w:ascii="仿宋" w:eastAsia="仿宋" w:hAnsi="仿宋" w:hint="eastAsia"/>
          <w:sz w:val="32"/>
          <w:szCs w:val="32"/>
        </w:rPr>
        <w:t>。</w:t>
      </w:r>
    </w:p>
    <w:p w14:paraId="7346955C">
      <w:pPr>
        <w:spacing w:line="620" w:lineRule="exact"/>
        <w:ind w:left="420" w:leftChars="200"/>
        <w:rPr>
          <w:rFonts w:ascii="仿宋" w:eastAsia="仿宋" w:hAnsi="仿宋"/>
          <w:sz w:val="32"/>
          <w:szCs w:val="32"/>
        </w:rPr>
      </w:pPr>
      <w:r>
        <w:rPr>
          <w:rFonts w:ascii="仿宋_GB2312" w:eastAsia="仿宋_GB2312" w:hAnsi="仿宋_GB2312" w:cs="仿宋_GB2312"/>
          <w:b/>
          <w:sz w:val="32"/>
        </w:rPr>
        <w:t>2、质量指标</w:t>
      </w:r>
    </w:p>
    <w:p w14:paraId="2794AA82">
      <w:pPr>
        <w:spacing w:line="620" w:lineRule="exact"/>
        <w:ind w:left="420" w:leftChars="200"/>
        <w:rPr>
          <w:rFonts w:ascii="仿宋" w:eastAsia="仿宋" w:hAnsi="仿宋"/>
          <w:sz w:val="32"/>
          <w:szCs w:val="32"/>
        </w:rPr>
      </w:pPr>
      <w:r>
        <w:rPr>
          <w:rFonts w:ascii="仿宋_GB2312" w:eastAsia="仿宋_GB2312" w:hAnsi="仿宋_GB2312" w:cs="仿宋_GB2312"/>
          <w:sz w:val="32"/>
        </w:rPr>
        <w:t>1)化解信访积案</w:t>
      </w:r>
      <w:r>
        <w:rPr>
          <w:rFonts w:ascii="仿宋" w:eastAsia="仿宋" w:hAnsi="仿宋" w:cs="仿宋"/>
          <w:sz w:val="32"/>
        </w:rPr>
        <w:t>(%)，目标值98，完成值100，分值12，得分12</w:t>
      </w:r>
      <w:r>
        <w:rPr>
          <w:rFonts w:ascii="仿宋" w:eastAsia="仿宋" w:hAnsi="仿宋" w:hint="eastAsia"/>
          <w:sz w:val="32"/>
          <w:szCs w:val="32"/>
        </w:rPr>
        <w:t>。</w:t>
      </w:r>
    </w:p>
    <w:p w14:paraId="1BD0B900">
      <w:pPr>
        <w:spacing w:line="620" w:lineRule="exact"/>
        <w:ind w:left="420" w:leftChars="200"/>
        <w:rPr>
          <w:rFonts w:ascii="仿宋" w:eastAsia="仿宋" w:hAnsi="仿宋"/>
          <w:sz w:val="32"/>
          <w:szCs w:val="32"/>
        </w:rPr>
      </w:pPr>
      <w:r>
        <w:rPr>
          <w:rFonts w:ascii="仿宋_GB2312" w:eastAsia="仿宋_GB2312" w:hAnsi="仿宋_GB2312" w:cs="仿宋_GB2312"/>
          <w:b/>
          <w:sz w:val="32"/>
        </w:rPr>
        <w:t>3、时效指标</w:t>
      </w:r>
    </w:p>
    <w:p w14:paraId="0C96F7C0">
      <w:pPr>
        <w:spacing w:line="620" w:lineRule="exact"/>
        <w:ind w:left="420" w:leftChars="200"/>
        <w:rPr>
          <w:rFonts w:ascii="仿宋" w:eastAsia="仿宋" w:hAnsi="仿宋"/>
          <w:sz w:val="32"/>
          <w:szCs w:val="32"/>
        </w:rPr>
      </w:pPr>
      <w:r>
        <w:rPr>
          <w:rFonts w:ascii="仿宋_GB2312" w:eastAsia="仿宋_GB2312" w:hAnsi="仿宋_GB2312" w:cs="仿宋_GB2312"/>
          <w:sz w:val="32"/>
        </w:rPr>
        <w:t>1)化解信访积案</w:t>
      </w:r>
      <w:r>
        <w:rPr>
          <w:rFonts w:ascii="仿宋" w:eastAsia="仿宋" w:hAnsi="仿宋" w:cs="仿宋"/>
          <w:sz w:val="32"/>
        </w:rPr>
        <w:t>(%)，目标值98，完成值100，分值16，得分16</w:t>
      </w:r>
      <w:r>
        <w:rPr>
          <w:rFonts w:ascii="仿宋" w:eastAsia="仿宋" w:hAnsi="仿宋" w:hint="eastAsia"/>
          <w:sz w:val="32"/>
          <w:szCs w:val="32"/>
        </w:rPr>
        <w:t>。</w:t>
      </w:r>
    </w:p>
    <w:p w14:paraId="6982E669">
      <w:pPr>
        <w:spacing w:line="620" w:lineRule="exact"/>
        <w:ind w:left="420" w:leftChars="200"/>
        <w:rPr>
          <w:rFonts w:ascii="仿宋" w:eastAsia="仿宋" w:hAnsi="仿宋"/>
          <w:sz w:val="32"/>
          <w:szCs w:val="32"/>
        </w:rPr>
      </w:pPr>
      <w:r>
        <w:rPr>
          <w:rFonts w:ascii="仿宋_GB2312" w:eastAsia="仿宋_GB2312" w:hAnsi="仿宋_GB2312" w:cs="仿宋_GB2312"/>
          <w:b/>
          <w:sz w:val="32"/>
        </w:rPr>
        <w:t>(三) 效益指标</w:t>
      </w:r>
    </w:p>
    <w:p w14:paraId="639979CD">
      <w:pPr>
        <w:spacing w:line="620" w:lineRule="exact"/>
        <w:ind w:left="420" w:leftChars="200"/>
        <w:rPr>
          <w:rFonts w:ascii="仿宋" w:eastAsia="仿宋" w:hAnsi="仿宋"/>
          <w:sz w:val="32"/>
          <w:szCs w:val="32"/>
        </w:rPr>
      </w:pPr>
      <w:r>
        <w:rPr>
          <w:rFonts w:ascii="仿宋_GB2312" w:eastAsia="仿宋_GB2312" w:hAnsi="仿宋_GB2312" w:cs="仿宋_GB2312"/>
          <w:b/>
          <w:sz w:val="32"/>
        </w:rPr>
        <w:t>1、经济效益指标</w:t>
      </w:r>
    </w:p>
    <w:p w14:paraId="14D8039C">
      <w:pPr>
        <w:spacing w:line="620" w:lineRule="exact"/>
        <w:ind w:left="420" w:leftChars="200"/>
        <w:rPr>
          <w:rFonts w:ascii="仿宋" w:eastAsia="仿宋" w:hAnsi="仿宋"/>
          <w:sz w:val="32"/>
          <w:szCs w:val="32"/>
        </w:rPr>
      </w:pPr>
      <w:r>
        <w:rPr>
          <w:rFonts w:ascii="仿宋_GB2312" w:eastAsia="仿宋_GB2312" w:hAnsi="仿宋_GB2312" w:cs="仿宋_GB2312"/>
          <w:b/>
          <w:sz w:val="32"/>
        </w:rPr>
        <w:t>2、社会效益指标</w:t>
      </w:r>
    </w:p>
    <w:p w14:paraId="25938C54">
      <w:pPr>
        <w:spacing w:line="620" w:lineRule="exact"/>
        <w:ind w:left="420" w:leftChars="200"/>
        <w:rPr>
          <w:rFonts w:ascii="仿宋" w:eastAsia="仿宋" w:hAnsi="仿宋"/>
          <w:sz w:val="32"/>
          <w:szCs w:val="32"/>
        </w:rPr>
      </w:pPr>
      <w:r>
        <w:rPr>
          <w:rFonts w:ascii="仿宋_GB2312" w:eastAsia="仿宋_GB2312" w:hAnsi="仿宋_GB2312" w:cs="仿宋_GB2312"/>
          <w:sz w:val="32"/>
        </w:rPr>
        <w:t>1)化解信访疑难积案个案</w:t>
      </w:r>
      <w:r>
        <w:rPr>
          <w:rFonts w:ascii="仿宋" w:eastAsia="仿宋" w:hAnsi="仿宋" w:cs="仿宋"/>
          <w:sz w:val="32"/>
        </w:rPr>
        <w:t>(件)，目标值2，完成值19，分值30，得分30</w:t>
      </w:r>
      <w:r>
        <w:rPr>
          <w:rFonts w:ascii="仿宋" w:eastAsia="仿宋" w:hAnsi="仿宋" w:hint="eastAsia"/>
          <w:sz w:val="32"/>
          <w:szCs w:val="32"/>
        </w:rPr>
        <w:t>。</w:t>
      </w:r>
    </w:p>
    <w:p w14:paraId="72E90DD8">
      <w:pPr>
        <w:spacing w:line="620" w:lineRule="exact"/>
        <w:ind w:left="420" w:leftChars="200"/>
        <w:rPr>
          <w:rFonts w:ascii="仿宋" w:eastAsia="仿宋" w:hAnsi="仿宋"/>
          <w:sz w:val="32"/>
          <w:szCs w:val="32"/>
        </w:rPr>
      </w:pPr>
      <w:r>
        <w:rPr>
          <w:rFonts w:ascii="仿宋_GB2312" w:eastAsia="仿宋_GB2312" w:hAnsi="仿宋_GB2312" w:cs="仿宋_GB2312"/>
          <w:b/>
          <w:sz w:val="32"/>
        </w:rPr>
        <w:t>3、生态效益指标</w:t>
      </w:r>
    </w:p>
    <w:p w14:paraId="49740689">
      <w:pPr>
        <w:spacing w:line="620" w:lineRule="exact"/>
        <w:ind w:left="420" w:leftChars="200"/>
        <w:rPr>
          <w:rFonts w:ascii="仿宋" w:eastAsia="仿宋" w:hAnsi="仿宋"/>
          <w:sz w:val="32"/>
          <w:szCs w:val="32"/>
        </w:rPr>
      </w:pPr>
      <w:r>
        <w:rPr>
          <w:rFonts w:ascii="仿宋_GB2312" w:eastAsia="仿宋_GB2312" w:hAnsi="仿宋_GB2312" w:cs="仿宋_GB2312"/>
          <w:b/>
          <w:sz w:val="32"/>
        </w:rPr>
        <w:t>(四) 满意度指标</w:t>
      </w:r>
    </w:p>
    <w:p w14:paraId="4C5C81D1">
      <w:pPr>
        <w:spacing w:line="620" w:lineRule="exact"/>
        <w:ind w:left="420" w:leftChars="200"/>
        <w:rPr>
          <w:rFonts w:ascii="仿宋" w:eastAsia="仿宋" w:hAnsi="仿宋"/>
          <w:sz w:val="32"/>
          <w:szCs w:val="32"/>
        </w:rPr>
      </w:pPr>
      <w:r>
        <w:rPr>
          <w:rFonts w:ascii="仿宋_GB2312" w:eastAsia="仿宋_GB2312" w:hAnsi="仿宋_GB2312" w:cs="仿宋_GB2312"/>
          <w:b/>
          <w:sz w:val="32"/>
        </w:rPr>
        <w:t>1、服务对象满意度指标</w:t>
      </w:r>
    </w:p>
    <w:p w14:paraId="5E13D7D8">
      <w:pPr>
        <w:spacing w:line="620" w:lineRule="exact"/>
        <w:ind w:left="420" w:leftChars="200"/>
        <w:rPr>
          <w:rFonts w:ascii="仿宋" w:eastAsia="仿宋" w:hAnsi="仿宋" w:hint="eastAsia"/>
          <w:sz w:val="32"/>
          <w:szCs w:val="32"/>
        </w:rPr>
      </w:pPr>
      <w:r>
        <w:rPr>
          <w:rFonts w:ascii="仿宋_GB2312" w:eastAsia="仿宋_GB2312" w:hAnsi="仿宋_GB2312" w:cs="仿宋_GB2312"/>
          <w:sz w:val="32"/>
        </w:rPr>
        <w:t>1)服务信访人满意率</w:t>
      </w:r>
      <w:r>
        <w:rPr>
          <w:rFonts w:ascii="仿宋" w:eastAsia="仿宋" w:hAnsi="仿宋" w:cs="仿宋"/>
          <w:sz w:val="32"/>
        </w:rPr>
        <w:t>(%)，目标值98，完成值100，分值10，得分10</w:t>
      </w:r>
      <w:r>
        <w:rPr>
          <w:rFonts w:ascii="仿宋" w:eastAsia="仿宋" w:hAnsi="仿宋" w:hint="eastAsia"/>
          <w:sz w:val="32"/>
          <w:szCs w:val="32"/>
        </w:rPr>
        <w:t>。</w:t>
      </w:r>
    </w:p>
    <w:p w14:paraId="00B229E0">
      <w:pPr>
        <w:ind w:firstLine="627" w:firstLineChars="196"/>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7E6787A3">
      <w:pPr>
        <w:ind w:firstLine="627" w:firstLineChars="196"/>
        <w:rPr>
          <w:rFonts w:ascii="仿宋" w:eastAsia="仿宋" w:hAnsi="仿宋" w:hint="eastAsia"/>
          <w:b/>
          <w:sz w:val="32"/>
          <w:szCs w:val="32"/>
        </w:rPr>
      </w:pPr>
      <w:r>
        <w:rPr>
          <w:rFonts w:ascii="仿宋" w:eastAsia="仿宋" w:hAnsi="仿宋" w:hint="eastAsia"/>
          <w:b/>
          <w:sz w:val="32"/>
          <w:szCs w:val="32"/>
        </w:rPr>
        <w:t>（一）主要问题</w:t>
      </w:r>
    </w:p>
    <w:p w14:paraId="0452C756">
      <w:pPr>
        <w:keepNext w:val="0"/>
        <w:keepLines w:val="0"/>
        <w:pageBreakBefore w:val="0"/>
        <w:kinsoku/>
        <w:wordWrap/>
        <w:overflowPunct/>
        <w:topLinePunct w:val="0"/>
        <w:autoSpaceDE/>
        <w:autoSpaceDN/>
        <w:bidi w:val="0"/>
        <w:adjustRightInd/>
        <w:snapToGrid/>
        <w:spacing w:after="0" w:line="540" w:lineRule="exact"/>
        <w:ind w:firstLine="640" w:firstLineChars="200"/>
        <w:textAlignment w:val="auto"/>
        <w:rPr>
          <w:rFonts w:ascii="仿宋_GB2312" w:eastAsia="仿宋_GB2312" w:hAnsi="仿宋_GB2312" w:cs="仿宋_GB2312" w:hint="eastAsia"/>
          <w:sz w:val="32"/>
          <w:szCs w:val="32"/>
        </w:rPr>
      </w:pPr>
      <w:r>
        <w:rPr>
          <w:rFonts w:ascii="楷体_GB2312" w:eastAsia="楷体_GB2312" w:hAnsi="楷体_GB2312" w:cs="楷体_GB2312" w:hint="eastAsia"/>
          <w:b/>
          <w:bCs/>
          <w:sz w:val="32"/>
          <w:szCs w:val="32"/>
        </w:rPr>
        <w:t>（</w:t>
      </w:r>
      <w:r>
        <w:rPr>
          <w:rFonts w:ascii="楷体_GB2312" w:eastAsia="楷体_GB2312" w:hAnsi="楷体_GB2312" w:cs="楷体_GB2312" w:hint="eastAsia"/>
          <w:b/>
          <w:bCs/>
          <w:sz w:val="32"/>
          <w:szCs w:val="32"/>
          <w:lang w:eastAsia="zh-CN"/>
        </w:rPr>
        <w:t>一</w:t>
      </w:r>
      <w:r>
        <w:rPr>
          <w:rFonts w:ascii="楷体_GB2312" w:eastAsia="楷体_GB2312" w:hAnsi="楷体_GB2312" w:cs="楷体_GB2312" w:hint="eastAsia"/>
          <w:b/>
          <w:bCs/>
          <w:sz w:val="32"/>
          <w:szCs w:val="32"/>
        </w:rPr>
        <w:t>）重点领域矛盾凸显</w:t>
      </w:r>
      <w:r>
        <w:rPr>
          <w:rFonts w:ascii="楷体_GB2312" w:eastAsia="楷体_GB2312" w:hAnsi="楷体_GB2312" w:cs="楷体_GB2312" w:hint="eastAsia"/>
          <w:b/>
          <w:bCs/>
          <w:sz w:val="32"/>
          <w:szCs w:val="32"/>
          <w:lang w:eastAsia="zh-CN"/>
        </w:rPr>
        <w:t>。</w:t>
      </w:r>
      <w:r>
        <w:rPr>
          <w:rFonts w:ascii="仿宋_GB2312" w:eastAsia="仿宋_GB2312" w:hAnsi="仿宋_GB2312" w:cs="仿宋_GB2312" w:hint="eastAsia"/>
          <w:sz w:val="32"/>
          <w:szCs w:val="32"/>
        </w:rPr>
        <w:t>城乡建设、</w:t>
      </w:r>
      <w:r>
        <w:rPr>
          <w:rFonts w:ascii="仿宋_GB2312" w:eastAsia="仿宋_GB2312" w:hAnsi="仿宋_GB2312" w:cs="仿宋_GB2312" w:hint="eastAsia"/>
          <w:sz w:val="32"/>
          <w:szCs w:val="32"/>
          <w:lang w:eastAsia="zh-CN"/>
        </w:rPr>
        <w:t>自然资源、社会保障</w:t>
      </w:r>
      <w:r>
        <w:rPr>
          <w:rFonts w:ascii="仿宋_GB2312" w:eastAsia="仿宋_GB2312" w:hAnsi="仿宋_GB2312" w:cs="仿宋_GB2312" w:hint="eastAsia"/>
          <w:sz w:val="32"/>
          <w:szCs w:val="32"/>
        </w:rPr>
        <w:t>等领域不稳定因素集中，涉及部门多、政策性强、协调难度大。</w:t>
      </w:r>
      <w:r>
        <w:rPr>
          <w:rFonts w:ascii="仿宋_GB2312" w:eastAsia="仿宋_GB2312" w:hAnsi="仿宋_GB2312" w:cs="仿宋_GB2312" w:hint="eastAsia"/>
          <w:b/>
          <w:bCs/>
          <w:sz w:val="32"/>
          <w:szCs w:val="32"/>
          <w:lang w:val="en-US" w:eastAsia="zh-CN"/>
        </w:rPr>
        <w:t>如</w:t>
      </w:r>
      <w:r>
        <w:rPr>
          <w:rFonts w:ascii="仿宋_GB2312" w:eastAsia="仿宋_GB2312" w:hAnsi="仿宋_GB2312" w:cs="仿宋_GB2312" w:hint="eastAsia"/>
          <w:sz w:val="32"/>
          <w:szCs w:val="32"/>
          <w:lang w:val="en-US" w:eastAsia="zh-CN"/>
        </w:rPr>
        <w:t>，梁某应（已故）夫妇因泰宁县杉城镇</w:t>
      </w:r>
      <w:r>
        <w:rPr>
          <w:rFonts w:ascii="仿宋_GB2312" w:eastAsia="仿宋_GB2312" w:hAnsi="仿宋_GB2312" w:cs="仿宋_GB2312" w:hint="eastAsia"/>
          <w:color w:val="auto"/>
          <w:sz w:val="32"/>
          <w:szCs w:val="32"/>
          <w:lang w:val="en-US" w:eastAsia="zh-CN"/>
        </w:rPr>
        <w:t>进士巷24号（原胜二街22号）房屋权属问题，30多年来通过各种途径上访“维权”、今年</w:t>
      </w:r>
      <w:r>
        <w:rPr>
          <w:rFonts w:ascii="仿宋_GB2312" w:eastAsia="仿宋_GB2312" w:hAnsi="仿宋_GB2312" w:cs="仿宋_GB2312" w:hint="eastAsia"/>
          <w:sz w:val="32"/>
          <w:szCs w:val="32"/>
          <w:lang w:val="en-US" w:eastAsia="zh-CN"/>
        </w:rPr>
        <w:t>向中央巡视组、省委巡视组重复反映，梁某应虽已离世，但其女儿梁某莲（三明八中退休教师）表示将继续“以访施压”。</w:t>
      </w:r>
    </w:p>
    <w:p w14:paraId="0FDB850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hAnsi="仿宋_GB2312" w:cs="仿宋_GB2312" w:hint="eastAsia"/>
          <w:bCs/>
          <w:color w:val="000000"/>
          <w:sz w:val="32"/>
          <w:szCs w:val="32"/>
          <w:lang w:val="en-US" w:eastAsia="zh-CN"/>
        </w:rPr>
      </w:pPr>
      <w:r>
        <w:rPr>
          <w:rFonts w:ascii="楷体_GB2312" w:eastAsia="楷体_GB2312" w:hAnsi="楷体_GB2312" w:cs="楷体_GB2312" w:hint="eastAsia"/>
          <w:b/>
          <w:bCs/>
          <w:kern w:val="0"/>
          <w:sz w:val="32"/>
          <w:szCs w:val="32"/>
          <w:lang w:val="en-US" w:eastAsia="zh-CN" w:bidi="ar"/>
        </w:rPr>
        <w:t>（二）涉法涉诉案件难解。</w:t>
      </w:r>
      <w:r>
        <w:rPr>
          <w:rFonts w:ascii="仿宋_GB2312" w:eastAsia="仿宋_GB2312" w:hAnsi="仿宋_GB2312" w:cs="仿宋_GB2312" w:hint="eastAsia"/>
          <w:bCs/>
          <w:color w:val="000000"/>
          <w:sz w:val="32"/>
          <w:szCs w:val="32"/>
        </w:rPr>
        <w:t>针对涉法涉诉类信访积案，目前化解手段有限，有关责任单位仅能通过心理</w:t>
      </w:r>
      <w:r>
        <w:rPr>
          <w:rFonts w:ascii="仿宋_GB2312" w:eastAsia="仿宋_GB2312" w:hAnsi="仿宋_GB2312" w:cs="仿宋_GB2312" w:hint="eastAsia"/>
          <w:bCs/>
          <w:color w:val="000000"/>
          <w:sz w:val="32"/>
          <w:szCs w:val="32"/>
          <w:lang w:eastAsia="zh-CN"/>
        </w:rPr>
        <w:t>疏导</w:t>
      </w:r>
      <w:r>
        <w:rPr>
          <w:rFonts w:ascii="仿宋_GB2312" w:eastAsia="仿宋_GB2312" w:hAnsi="仿宋_GB2312" w:cs="仿宋_GB2312" w:hint="eastAsia"/>
          <w:bCs/>
          <w:color w:val="000000"/>
          <w:sz w:val="32"/>
          <w:szCs w:val="32"/>
        </w:rPr>
        <w:t>和法律宣传解释等方式做通信访人思想人工作，化解难度</w:t>
      </w:r>
      <w:r>
        <w:rPr>
          <w:rFonts w:ascii="仿宋_GB2312" w:eastAsia="仿宋_GB2312" w:hAnsi="仿宋_GB2312" w:cs="仿宋_GB2312" w:hint="eastAsia"/>
          <w:bCs/>
          <w:color w:val="000000"/>
          <w:sz w:val="32"/>
          <w:szCs w:val="32"/>
          <w:lang w:eastAsia="zh-CN"/>
        </w:rPr>
        <w:t>较</w:t>
      </w:r>
      <w:r>
        <w:rPr>
          <w:rFonts w:ascii="仿宋_GB2312" w:eastAsia="仿宋_GB2312" w:hAnsi="仿宋_GB2312" w:cs="仿宋_GB2312" w:hint="eastAsia"/>
          <w:bCs/>
          <w:color w:val="000000"/>
          <w:sz w:val="32"/>
          <w:szCs w:val="32"/>
        </w:rPr>
        <w:t>大</w:t>
      </w:r>
      <w:r>
        <w:rPr>
          <w:rFonts w:ascii="仿宋_GB2312" w:eastAsia="仿宋_GB2312" w:hAnsi="仿宋_GB2312" w:cs="仿宋_GB2312" w:hint="eastAsia"/>
          <w:bCs/>
          <w:color w:val="000000"/>
          <w:sz w:val="32"/>
          <w:szCs w:val="32"/>
          <w:lang w:val="en-US" w:eastAsia="zh-CN"/>
        </w:rPr>
        <w:t>。</w:t>
      </w:r>
      <w:r>
        <w:rPr>
          <w:rFonts w:ascii="仿宋_GB2312" w:eastAsia="仿宋_GB2312" w:hAnsi="仿宋_GB2312" w:cs="仿宋_GB2312" w:hint="eastAsia"/>
          <w:b/>
          <w:bCs/>
          <w:sz w:val="32"/>
          <w:szCs w:val="32"/>
        </w:rPr>
        <w:t>如</w:t>
      </w:r>
      <w:r>
        <w:rPr>
          <w:rFonts w:ascii="仿宋_GB2312" w:eastAsia="仿宋_GB2312" w:hAnsi="仿宋_GB2312" w:cs="仿宋_GB2312" w:hint="eastAsia"/>
          <w:b/>
          <w:bCs/>
          <w:sz w:val="32"/>
          <w:szCs w:val="32"/>
          <w:lang w:eastAsia="zh-CN"/>
        </w:rPr>
        <w:t>，</w:t>
      </w:r>
      <w:r>
        <w:rPr>
          <w:rFonts w:ascii="仿宋_GB2312" w:eastAsia="仿宋_GB2312" w:hAnsi="仿宋_GB2312" w:cs="仿宋_GB2312" w:hint="eastAsia"/>
          <w:sz w:val="32"/>
          <w:szCs w:val="32"/>
        </w:rPr>
        <w:t>江西省</w:t>
      </w:r>
      <w:r>
        <w:rPr>
          <w:rFonts w:ascii="仿宋_GB2312" w:eastAsia="仿宋_GB2312" w:hAnsi="仿宋_GB2312" w:cs="仿宋_GB2312" w:hint="eastAsia"/>
          <w:sz w:val="32"/>
          <w:szCs w:val="32"/>
          <w:lang w:val="en-US" w:eastAsia="zh-CN"/>
        </w:rPr>
        <w:t>黎川县黄某轩（三跨三分离）在我县承揽多项工程</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lang w:val="en-US" w:eastAsia="zh-CN"/>
        </w:rPr>
        <w:t>多起纠纷进入诉讼程序，近年来共三次</w:t>
      </w:r>
      <w:r>
        <w:rPr>
          <w:rFonts w:ascii="仿宋_GB2312" w:eastAsia="仿宋_GB2312" w:hAnsi="仿宋_GB2312" w:cs="仿宋_GB2312" w:hint="eastAsia"/>
          <w:sz w:val="32"/>
          <w:szCs w:val="32"/>
        </w:rPr>
        <w:t>进京</w:t>
      </w:r>
      <w:r>
        <w:rPr>
          <w:rFonts w:ascii="仿宋_GB2312" w:eastAsia="仿宋_GB2312" w:hAnsi="仿宋_GB2312" w:cs="仿宋_GB2312" w:hint="eastAsia"/>
          <w:sz w:val="32"/>
          <w:szCs w:val="32"/>
          <w:lang w:eastAsia="zh-CN"/>
        </w:rPr>
        <w:t>越级访</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lang w:val="en-US" w:eastAsia="zh-CN"/>
        </w:rPr>
        <w:t>今年1月21日又进京上访，以访施压、牟利。</w:t>
      </w:r>
    </w:p>
    <w:p w14:paraId="477E0B48">
      <w:pPr>
        <w:keepNext w:val="0"/>
        <w:keepLines w:val="0"/>
        <w:pageBreakBefore w:val="0"/>
        <w:kinsoku/>
        <w:wordWrap/>
        <w:overflowPunct/>
        <w:topLinePunct w:val="0"/>
        <w:autoSpaceDE/>
        <w:autoSpaceDN/>
        <w:bidi w:val="0"/>
        <w:adjustRightInd/>
        <w:snapToGrid w:val="0"/>
        <w:spacing w:line="587" w:lineRule="exact"/>
        <w:ind w:firstLine="640" w:firstLineChars="200"/>
        <w:textAlignment w:val="auto"/>
        <w:rPr>
          <w:rFonts w:hAnsi="仿宋_GB2312" w:cs="仿宋_GB2312" w:hint="default"/>
          <w:kern w:val="0"/>
          <w:sz w:val="32"/>
          <w:szCs w:val="32"/>
          <w:lang w:val="en-US" w:eastAsia="zh-CN"/>
        </w:rPr>
      </w:pPr>
      <w:r>
        <w:rPr>
          <w:rFonts w:ascii="楷体_GB2312" w:eastAsia="楷体_GB2312" w:hAnsi="楷体_GB2312" w:cs="楷体_GB2312" w:hint="eastAsia"/>
          <w:b/>
          <w:bCs/>
          <w:kern w:val="0"/>
          <w:sz w:val="32"/>
          <w:szCs w:val="32"/>
          <w:lang w:val="en-US" w:eastAsia="zh-CN" w:bidi="ar"/>
        </w:rPr>
        <w:t>（三）重点人员稳控乏力。</w:t>
      </w:r>
      <w:r>
        <w:rPr>
          <w:rFonts w:ascii="仿宋_GB2312" w:eastAsia="仿宋_GB2312" w:hAnsi="仿宋_GB2312" w:cs="仿宋_GB2312" w:hint="eastAsia"/>
          <w:bCs/>
          <w:color w:val="000000"/>
          <w:kern w:val="2"/>
          <w:sz w:val="32"/>
          <w:szCs w:val="32"/>
          <w:lang w:val="en-US" w:eastAsia="zh-CN" w:bidi="ar-SA"/>
        </w:rPr>
        <w:t>存在个别重点人员稳控难，属地乡（镇）、责任部门措施、办法、招数有限，虽花费大量人力、精力、物力和成本，但稳控效果不佳。</w:t>
      </w:r>
      <w:r>
        <w:rPr>
          <w:rFonts w:ascii="仿宋_GB2312" w:eastAsia="仿宋_GB2312" w:hAnsi="仿宋_GB2312" w:cs="仿宋_GB2312" w:hint="eastAsia"/>
          <w:b/>
          <w:bCs/>
          <w:sz w:val="32"/>
          <w:szCs w:val="32"/>
          <w:lang w:val="en-US" w:eastAsia="zh-CN"/>
        </w:rPr>
        <w:t>如，</w:t>
      </w:r>
      <w:r>
        <w:rPr>
          <w:rFonts w:ascii="仿宋_GB2312" w:eastAsia="仿宋_GB2312" w:hAnsi="仿宋_GB2312" w:cs="仿宋_GB2312" w:hint="eastAsia"/>
          <w:sz w:val="32"/>
          <w:szCs w:val="32"/>
          <w:lang w:val="en-US" w:eastAsia="zh-CN"/>
        </w:rPr>
        <w:t>今年“九三”阅兵期间，重点人员聂某龙进京越级访。</w:t>
      </w:r>
    </w:p>
    <w:p w14:paraId="09CB707C">
      <w:pPr>
        <w:ind w:firstLine="627" w:firstLineChars="196"/>
        <w:rPr>
          <w:rFonts w:ascii="黑体" w:eastAsia="黑体" w:hAnsi="黑体" w:cs="仿宋"/>
          <w:kern w:val="0"/>
          <w:sz w:val="32"/>
          <w:szCs w:val="32"/>
        </w:rPr>
      </w:pPr>
      <w:r>
        <w:rPr>
          <w:rFonts w:ascii="仿宋" w:eastAsia="仿宋" w:hAnsi="仿宋" w:hint="eastAsia"/>
          <w:b/>
          <w:sz w:val="32"/>
          <w:szCs w:val="32"/>
        </w:rPr>
        <w:t>（二）改进措施</w:t>
      </w:r>
    </w:p>
    <w:p w14:paraId="3B7BF487">
      <w:pPr>
        <w:keepNext w:val="0"/>
        <w:keepLines w:val="0"/>
        <w:pageBreakBefore w:val="0"/>
        <w:kinsoku/>
        <w:wordWrap/>
        <w:overflowPunct/>
        <w:topLinePunct w:val="0"/>
        <w:autoSpaceDE/>
        <w:autoSpaceDN/>
        <w:bidi w:val="0"/>
        <w:adjustRightInd/>
        <w:spacing w:line="587" w:lineRule="exact"/>
        <w:textAlignment w:val="auto"/>
        <w:rPr>
          <w:rFonts w:ascii="楷体_GB2312" w:eastAsia="楷体_GB2312" w:hAnsi="楷体_GB2312" w:cs="楷体_GB2312" w:hint="default"/>
          <w:b/>
          <w:bCs/>
          <w:color w:val="000000"/>
          <w:kern w:val="0"/>
          <w:sz w:val="32"/>
          <w:szCs w:val="32"/>
          <w:lang w:val="en-US" w:eastAsia="zh-CN" w:bidi="ar-SA"/>
        </w:rPr>
      </w:pPr>
      <w:r>
        <w:rPr>
          <w:rFonts w:ascii="楷体_GB2312" w:eastAsia="楷体_GB2312" w:hAnsi="楷体_GB2312" w:cs="楷体_GB2312" w:hint="eastAsia"/>
          <w:b/>
          <w:bCs/>
          <w:color w:val="000000"/>
          <w:kern w:val="0"/>
          <w:sz w:val="32"/>
          <w:szCs w:val="32"/>
          <w:lang w:val="en-US" w:eastAsia="zh-CN" w:bidi="ar-SA"/>
        </w:rPr>
        <w:t>（一）维稳筑基，筑牢安全防线。</w:t>
      </w:r>
      <w:r>
        <w:rPr>
          <w:rFonts w:ascii="仿宋_GB2312" w:eastAsia="仿宋_GB2312" w:hAnsi="仿宋_GB2312" w:cs="仿宋_GB2312" w:hint="eastAsia"/>
          <w:sz w:val="32"/>
          <w:szCs w:val="32"/>
        </w:rPr>
        <w:t>坚持和发展新时代“枫桥经验”，弘扬“四下基层”优良作风，把工作重心从事后处置向事前预防延伸。通过落实重大决策社会稳定风险评估机制，强化矛盾纠纷的常态排查，力求将风险隐患防范在早、化解在小。同时，充分发挥县、乡两级信访工作联席会议机制的统筹协调作用，推动力量下沉、关口前移</w:t>
      </w:r>
      <w:r>
        <w:rPr>
          <w:rFonts w:hAnsi="仿宋_GB2312" w:cs="仿宋_GB2312" w:hint="eastAsia"/>
          <w:sz w:val="32"/>
          <w:szCs w:val="32"/>
          <w:lang w:eastAsia="zh-CN"/>
        </w:rPr>
        <w:t>。</w:t>
      </w:r>
    </w:p>
    <w:p w14:paraId="48FFC1C3">
      <w:pPr>
        <w:keepNext w:val="0"/>
        <w:keepLines w:val="0"/>
        <w:pageBreakBefore w:val="0"/>
        <w:kinsoku/>
        <w:wordWrap/>
        <w:overflowPunct/>
        <w:topLinePunct w:val="0"/>
        <w:autoSpaceDE/>
        <w:autoSpaceDN/>
        <w:bidi w:val="0"/>
        <w:adjustRightInd/>
        <w:spacing w:line="587" w:lineRule="exact"/>
        <w:ind w:firstLine="640" w:firstLineChars="200"/>
        <w:textAlignment w:val="auto"/>
        <w:rPr>
          <w:rFonts w:ascii="仿宋_GB2312" w:eastAsia="仿宋_GB2312" w:hAnsi="仿宋_GB2312" w:cs="仿宋_GB2312" w:hint="eastAsia"/>
          <w:kern w:val="2"/>
          <w:sz w:val="32"/>
          <w:szCs w:val="32"/>
          <w:lang w:val="en-US" w:eastAsia="zh-CN" w:bidi="ar-SA"/>
        </w:rPr>
      </w:pPr>
      <w:r>
        <w:rPr>
          <w:rFonts w:ascii="楷体_GB2312" w:eastAsia="楷体_GB2312" w:hAnsi="楷体_GB2312" w:cs="楷体_GB2312" w:hint="eastAsia"/>
          <w:b/>
          <w:bCs/>
          <w:color w:val="000000"/>
          <w:kern w:val="0"/>
          <w:sz w:val="32"/>
          <w:szCs w:val="32"/>
          <w:lang w:val="en-US" w:eastAsia="zh-CN" w:bidi="ar-SA"/>
        </w:rPr>
        <w:t>（二）法治固本，强化引领保障。</w:t>
      </w:r>
      <w:r>
        <w:rPr>
          <w:rFonts w:ascii="楷体_GB2312" w:eastAsia="楷体_GB2312" w:hAnsi="楷体_GB2312" w:cs="楷体_GB2312" w:hint="eastAsia"/>
          <w:b w:val="0"/>
          <w:bCs w:val="0"/>
          <w:color w:val="000000"/>
          <w:kern w:val="0"/>
          <w:sz w:val="32"/>
          <w:szCs w:val="32"/>
          <w:lang w:val="en-US" w:eastAsia="zh-CN" w:bidi="ar-SA"/>
        </w:rPr>
        <w:t>推动</w:t>
      </w:r>
      <w:r>
        <w:rPr>
          <w:rFonts w:ascii="仿宋_GB2312" w:eastAsia="仿宋_GB2312" w:hAnsi="仿宋_GB2312" w:cs="仿宋_GB2312" w:hint="eastAsia"/>
          <w:kern w:val="2"/>
          <w:sz w:val="32"/>
          <w:szCs w:val="32"/>
          <w:lang w:val="en-US" w:eastAsia="zh-CN" w:bidi="ar-SA"/>
        </w:rPr>
        <w:t>“访调对接”，加强与公、检、法、司等部门的协同合作，共同处理复杂信访事项。将人民调解、行政调解与司法调解有机结合，为信访群众提供多元化的纠纷解决渠道；畅通“访诉对接”，完善与政法机关的案件移送、结果反馈机制，引导群众依法定程序向司法机关反映；强化“访纪对接”，完善信访与纪检监察的线索双向移送和督办问责机制。</w:t>
      </w:r>
    </w:p>
    <w:p w14:paraId="75AE3611">
      <w:pPr>
        <w:spacing w:line="620" w:lineRule="exact"/>
        <w:ind w:left="420" w:leftChars="200"/>
        <w:rPr>
          <w:rFonts w:ascii="仿宋" w:eastAsia="仿宋" w:hAnsi="仿宋" w:hint="eastAsia"/>
          <w:sz w:val="32"/>
          <w:szCs w:val="32"/>
        </w:rPr>
      </w:pPr>
      <w:r>
        <w:rPr>
          <w:rFonts w:ascii="仿宋_GB2312" w:eastAsia="仿宋_GB2312" w:hAnsi="仿宋_GB2312" w:cs="仿宋_GB2312" w:hint="eastAsia"/>
          <w:b/>
          <w:bCs/>
          <w:kern w:val="2"/>
          <w:sz w:val="32"/>
          <w:szCs w:val="32"/>
          <w:lang w:val="en-US" w:eastAsia="zh-CN" w:bidi="ar-SA"/>
        </w:rPr>
        <w:t>（三）多元共治，凝聚社会合力。</w:t>
      </w:r>
      <w:r>
        <w:rPr>
          <w:rFonts w:ascii="仿宋_GB2312" w:eastAsia="仿宋_GB2312" w:hAnsi="仿宋_GB2312" w:cs="仿宋_GB2312" w:hint="eastAsia"/>
          <w:kern w:val="2"/>
          <w:sz w:val="32"/>
          <w:szCs w:val="32"/>
          <w:lang w:val="en-US" w:eastAsia="zh-CN" w:bidi="ar-SA"/>
        </w:rPr>
        <w:t>建强法律顾问和公职律师队伍，为重大疑难信访事项提供法律论证与政策指引，筑牢依法处理的根基。鼓励律师、心理咨询师、“两代表一委员”等第三方力量参与调解、听证和评理，增强处理过程的透明性与公信力，推动信访问题在法律和政策框架内实质性化解。通过心理疏导、情绪安抚促进群众既解“法结”又解“心结”，最终实现“事心双解”、案结事了。</w:t>
      </w:r>
    </w:p>
    <w:p w14:paraId="28EC65C4">
      <w:pPr>
        <w:tabs>
          <w:tab w:val="left" w:pos="2244"/>
        </w:tabs>
        <w:spacing w:line="620" w:lineRule="exact"/>
        <w:ind w:left="1890" w:leftChars="900"/>
        <w:rPr>
          <w:rFonts w:ascii="仿宋" w:eastAsia="仿宋" w:hAnsi="仿宋"/>
          <w:b/>
          <w:color w:val="FF0000"/>
          <w:sz w:val="32"/>
          <w:szCs w:val="32"/>
        </w:rPr>
      </w:pPr>
    </w:p>
    <w:p/>
    <w:p>
      <w:pPr>
        <w:pStyle w:val="MsoNormal"/>
        <w:widowControl/>
        <w:spacing w:before="240" w:after="240"/>
        <w:jc w:val="left"/>
        <w:rPr>
          <w:rFonts w:ascii="Times New Roman" w:eastAsia="Times New Roman" w:hAnsi="Times New Roman" w:cs="Times New Roman"/>
          <w:kern w:val="0"/>
          <w:sz w:val="24"/>
        </w:rPr>
      </w:pPr>
    </w:p>
    <w:p>
      <w:pPr>
        <w:pStyle w:val="15"/>
        <w:widowControl/>
        <w:spacing w:before="240" w:after="240" w:line="560" w:lineRule="atLeast"/>
        <w:ind w:firstLine="640"/>
        <w:jc w:val="left"/>
        <w:rPr>
          <w:rFonts w:ascii="Times New Roman" w:eastAsia="Times New Roman" w:hAnsi="Times New Roman" w:cs="Times New Roman"/>
          <w:kern w:val="0"/>
          <w:sz w:val="24"/>
        </w:rPr>
      </w:pPr>
      <w:r>
        <w:rPr>
          <w:rFonts w:ascii="SimHei" w:eastAsia="SimHei" w:hAnsi="SimHei" w:cs="SimHei"/>
          <w:kern w:val="0"/>
          <w:sz w:val="32"/>
          <w:szCs w:val="32"/>
        </w:rPr>
        <w:t>三、部门整体支出绩效自评表</w:t>
      </w:r>
    </w:p>
    <w:p>
      <w:pPr>
        <w:pStyle w:val="MsoNormal"/>
        <w:widowControl/>
        <w:spacing w:before="240" w:after="240"/>
        <w:jc w:val="center"/>
        <w:rPr>
          <w:rFonts w:ascii="Times New Roman" w:eastAsia="Times New Roman" w:hAnsi="Times New Roman" w:cs="Times New Roman"/>
          <w:kern w:val="0"/>
          <w:sz w:val="24"/>
        </w:rPr>
      </w:pPr>
      <w:r>
        <w:rPr>
          <w:rFonts w:ascii="SimSun" w:eastAsia="SimSun" w:hAnsi="SimSun" w:cs="SimSun"/>
          <w:b/>
          <w:bCs/>
          <w:kern w:val="0"/>
          <w:sz w:val="32"/>
          <w:szCs w:val="32"/>
        </w:rPr>
        <w:t>部门整体绩效自评表</w:t>
      </w:r>
    </w:p>
    <w:p>
      <w:pPr>
        <w:pStyle w:val="MsoNormal"/>
        <w:widowControl/>
        <w:spacing w:before="240" w:after="240"/>
        <w:jc w:val="center"/>
        <w:rPr>
          <w:rFonts w:ascii="Times New Roman" w:eastAsia="Times New Roman" w:hAnsi="Times New Roman" w:cs="Times New Roman"/>
          <w:kern w:val="0"/>
          <w:sz w:val="24"/>
        </w:rPr>
      </w:pPr>
      <w:r>
        <w:rPr>
          <w:rFonts w:ascii="SimSun" w:eastAsia="SimSun" w:hAnsi="SimSun" w:cs="SimSun"/>
          <w:kern w:val="0"/>
          <w:sz w:val="22"/>
          <w:szCs w:val="22"/>
        </w:rPr>
        <w:t>（2025年度）</w:t>
      </w:r>
    </w:p>
    <w:p>
      <w:pPr>
        <w:pageBreakBefore/>
      </w:pPr>
    </w:p>
    <w:tbl>
      <w:tblPr>
        <w:tblW w:w="10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715"/>
        <w:gridCol w:w="715"/>
        <w:gridCol w:w="715"/>
        <w:gridCol w:w="715"/>
        <w:gridCol w:w="714"/>
        <w:gridCol w:w="714"/>
        <w:gridCol w:w="714"/>
        <w:gridCol w:w="714"/>
        <w:gridCol w:w="714"/>
        <w:gridCol w:w="714"/>
        <w:gridCol w:w="714"/>
        <w:gridCol w:w="714"/>
        <w:gridCol w:w="714"/>
        <w:gridCol w:w="714"/>
      </w:tblGrid>
      <w:tr>
        <w:tblPrEx>
          <w:tblW w:w="10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Ex>
        <w:trPr>
          <w:cantSplit/>
          <w:tblHeader/>
        </w:trPr>
        <w:tc>
          <w:tcPr>
            <w:tcW w:w="714" w:type="dxa"/>
            <w:gridSpan w:val="12"/>
            <w:tcMar>
              <w:left w:w="108" w:type="dxa"/>
              <w:right w:w="108" w:type="dxa"/>
            </w:tcMar>
            <w:vAlign w:val="center"/>
          </w:tcPr>
          <w:p>
            <w:pPr>
              <w:spacing w:before="0" w:after="0" w:line="240" w:lineRule="auto"/>
              <w:jc w:val="center"/>
              <w:textAlignment w:val="center"/>
            </w:pPr>
            <w:r>
              <w:rPr>
                <w:rFonts w:ascii="黑体" w:eastAsia="黑体" w:hAnsi="黑体" w:cs="黑体"/>
                <w:b w:val="0"/>
                <w:sz w:val="32"/>
              </w:rPr>
              <w:t>部门整体绩效自评表</w:t>
            </w:r>
          </w:p>
        </w:tc>
        <w:tc>
          <w:tcPr>
            <w:tcW w:w="714" w:type="dxa"/>
            <w:tcMar>
              <w:left w:w="108" w:type="dxa"/>
              <w:right w:w="108" w:type="dxa"/>
            </w:tcMar>
            <w:vAlign w:val="center"/>
          </w:tcPr>
          <w:p>
            <w:pPr>
              <w:spacing w:before="0" w:after="0" w:line="240" w:lineRule="auto"/>
              <w:jc w:val="left"/>
              <w:textAlignment w:val="center"/>
            </w:pPr>
          </w:p>
        </w:tc>
        <w:tc>
          <w:tcPr>
            <w:tcW w:w="714" w:type="dxa"/>
            <w:tcMar>
              <w:left w:w="108" w:type="dxa"/>
              <w:right w:w="108" w:type="dxa"/>
            </w:tcMar>
            <w:vAlign w:val="center"/>
          </w:tcPr>
          <w:p>
            <w:pPr>
              <w:spacing w:before="0" w:after="0" w:line="240" w:lineRule="auto"/>
              <w:jc w:val="left"/>
              <w:textAlignment w:val="center"/>
            </w:pPr>
          </w:p>
        </w:tc>
      </w:tr>
      <w:tr>
        <w:tblPrEx>
          <w:tblW w:w="10000" w:type="dxa"/>
          <w:tblLayout w:type="fixed"/>
          <w:tblCellMar>
            <w:top w:w="0" w:type="dxa"/>
            <w:left w:w="108" w:type="dxa"/>
            <w:bottom w:w="0" w:type="dxa"/>
            <w:right w:w="108" w:type="dxa"/>
          </w:tblCellMar>
        </w:tblPrEx>
        <w:trPr>
          <w:cantSplit/>
          <w:tblHeader/>
        </w:trPr>
        <w:tc>
          <w:tcPr>
            <w:tcW w:w="714" w:type="dxa"/>
            <w:gridSpan w:val="12"/>
            <w:tcMar>
              <w:left w:w="108" w:type="dxa"/>
              <w:right w:w="108" w:type="dxa"/>
            </w:tcMar>
            <w:vAlign w:val="center"/>
          </w:tcPr>
          <w:p>
            <w:pPr>
              <w:spacing w:before="0" w:after="0" w:line="240" w:lineRule="auto"/>
              <w:jc w:val="center"/>
              <w:textAlignment w:val="center"/>
            </w:pPr>
            <w:r>
              <w:rPr>
                <w:rFonts w:ascii="宋体" w:eastAsia="宋体" w:hAnsi="宋体" w:cs="宋体"/>
                <w:sz w:val="24"/>
              </w:rPr>
              <w:t>（2025年度）</w:t>
            </w:r>
          </w:p>
        </w:tc>
        <w:tc>
          <w:tcPr>
            <w:tcW w:w="714" w:type="dxa"/>
            <w:tcMar>
              <w:left w:w="108" w:type="dxa"/>
              <w:right w:w="108" w:type="dxa"/>
            </w:tcMar>
            <w:vAlign w:val="center"/>
          </w:tcPr>
          <w:p>
            <w:pPr>
              <w:spacing w:before="0" w:after="0" w:line="240" w:lineRule="auto"/>
              <w:jc w:val="left"/>
              <w:textAlignment w:val="center"/>
            </w:pPr>
          </w:p>
        </w:tc>
        <w:tc>
          <w:tcPr>
            <w:tcW w:w="714" w:type="dxa"/>
            <w:tcMar>
              <w:left w:w="108" w:type="dxa"/>
              <w:right w:w="108" w:type="dxa"/>
            </w:tcMar>
            <w:vAlign w:val="center"/>
          </w:tcPr>
          <w:p>
            <w:pPr>
              <w:spacing w:before="0" w:after="0" w:line="240" w:lineRule="auto"/>
              <w:jc w:val="left"/>
              <w:textAlignment w:val="center"/>
            </w:pPr>
          </w:p>
        </w:tc>
      </w:tr>
      <w:tr>
        <w:tblPrEx>
          <w:tblW w:w="10000" w:type="dxa"/>
          <w:tblLayout w:type="fixed"/>
          <w:tblCellMar>
            <w:top w:w="0" w:type="dxa"/>
            <w:left w:w="108" w:type="dxa"/>
            <w:bottom w:w="0" w:type="dxa"/>
            <w:right w:w="108" w:type="dxa"/>
          </w:tblCellMar>
        </w:tblPrEx>
        <w:trPr>
          <w:cantSplit/>
          <w:tblHeader/>
        </w:trPr>
        <w:tc>
          <w:tcPr>
            <w:tcW w:w="714" w:type="dxa"/>
            <w:gridSpan w:val="3"/>
            <w:tcMar>
              <w:left w:w="108" w:type="dxa"/>
              <w:right w:w="108" w:type="dxa"/>
            </w:tcMar>
            <w:vAlign w:val="center"/>
          </w:tcPr>
          <w:p>
            <w:pPr>
              <w:spacing w:before="0" w:after="0" w:line="240" w:lineRule="auto"/>
              <w:jc w:val="center"/>
              <w:textAlignment w:val="center"/>
            </w:pPr>
            <w:r>
              <w:rPr>
                <w:rFonts w:ascii="宋体" w:eastAsia="宋体" w:hAnsi="宋体" w:cs="宋体"/>
                <w:sz w:val="24"/>
              </w:rPr>
              <w:t>专项名称</w:t>
            </w:r>
          </w:p>
        </w:tc>
        <w:tc>
          <w:tcPr>
            <w:tcW w:w="714" w:type="dxa"/>
            <w:gridSpan w:val="9"/>
            <w:tcMar>
              <w:left w:w="108" w:type="dxa"/>
              <w:right w:w="108" w:type="dxa"/>
            </w:tcMar>
            <w:vAlign w:val="center"/>
          </w:tcPr>
          <w:p>
            <w:pPr>
              <w:spacing w:before="0" w:after="0" w:line="240" w:lineRule="auto"/>
              <w:jc w:val="center"/>
              <w:textAlignment w:val="center"/>
            </w:pPr>
            <w:r>
              <w:rPr>
                <w:rFonts w:ascii="宋体" w:eastAsia="宋体" w:hAnsi="宋体" w:cs="宋体"/>
                <w:sz w:val="24"/>
              </w:rPr>
              <w:t>140部门整体</w:t>
            </w:r>
          </w:p>
        </w:tc>
        <w:tc>
          <w:tcPr>
            <w:tcW w:w="714" w:type="dxa"/>
            <w:tcMar>
              <w:left w:w="108" w:type="dxa"/>
              <w:right w:w="108" w:type="dxa"/>
            </w:tcMar>
            <w:vAlign w:val="center"/>
          </w:tcPr>
          <w:p>
            <w:pPr>
              <w:spacing w:before="0" w:after="0" w:line="240" w:lineRule="auto"/>
              <w:jc w:val="left"/>
              <w:textAlignment w:val="center"/>
            </w:pPr>
          </w:p>
        </w:tc>
        <w:tc>
          <w:tcPr>
            <w:tcW w:w="714" w:type="dxa"/>
            <w:tcMar>
              <w:left w:w="108" w:type="dxa"/>
              <w:right w:w="108" w:type="dxa"/>
            </w:tcMar>
            <w:vAlign w:val="center"/>
          </w:tcPr>
          <w:p>
            <w:pPr>
              <w:spacing w:before="0" w:after="0" w:line="240" w:lineRule="auto"/>
              <w:jc w:val="left"/>
              <w:textAlignment w:val="center"/>
            </w:pPr>
          </w:p>
        </w:tc>
      </w:tr>
      <w:tr>
        <w:tblPrEx>
          <w:tblW w:w="10000" w:type="dxa"/>
          <w:tblLayout w:type="fixed"/>
          <w:tblCellMar>
            <w:top w:w="0" w:type="dxa"/>
            <w:left w:w="108" w:type="dxa"/>
            <w:bottom w:w="0" w:type="dxa"/>
            <w:right w:w="108" w:type="dxa"/>
          </w:tblCellMar>
        </w:tblPrEx>
        <w:trPr>
          <w:cantSplit/>
          <w:tblHeader/>
        </w:trPr>
        <w:tc>
          <w:tcPr>
            <w:tcW w:w="714" w:type="dxa"/>
            <w:gridSpan w:val="3"/>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部门（单位）名称</w:t>
            </w:r>
          </w:p>
        </w:tc>
        <w:tc>
          <w:tcPr>
            <w:tcW w:w="714" w:type="dxa"/>
            <w:gridSpan w:val="3"/>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中共泰宁县委社会工作部</w:t>
            </w:r>
          </w:p>
        </w:tc>
        <w:tc>
          <w:tcPr>
            <w:tcW w:w="714"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部门预算编码</w:t>
            </w:r>
          </w:p>
        </w:tc>
        <w:tc>
          <w:tcPr>
            <w:tcW w:w="714" w:type="dxa"/>
            <w:gridSpan w:val="4"/>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140</w:t>
            </w:r>
          </w:p>
        </w:tc>
        <w:tc>
          <w:tcPr>
            <w:tcW w:w="714" w:type="dxa"/>
            <w:tcMar>
              <w:left w:w="108" w:type="dxa"/>
              <w:right w:w="108" w:type="dxa"/>
            </w:tcMar>
            <w:vAlign w:val="center"/>
          </w:tcPr>
          <w:p>
            <w:pPr>
              <w:spacing w:before="0" w:after="0" w:line="240" w:lineRule="auto"/>
              <w:jc w:val="left"/>
              <w:textAlignment w:val="center"/>
            </w:pPr>
          </w:p>
        </w:tc>
        <w:tc>
          <w:tcPr>
            <w:tcW w:w="714" w:type="dxa"/>
            <w:tcMar>
              <w:left w:w="108" w:type="dxa"/>
              <w:right w:w="108" w:type="dxa"/>
            </w:tcMar>
            <w:vAlign w:val="center"/>
          </w:tcPr>
          <w:p>
            <w:pPr>
              <w:spacing w:before="0" w:after="0" w:line="240" w:lineRule="auto"/>
              <w:jc w:val="left"/>
              <w:textAlignment w:val="center"/>
            </w:pPr>
          </w:p>
        </w:tc>
      </w:tr>
      <w:tr>
        <w:tblPrEx>
          <w:tblW w:w="10000" w:type="dxa"/>
          <w:tblLayout w:type="fixed"/>
          <w:tblCellMar>
            <w:top w:w="0" w:type="dxa"/>
            <w:left w:w="108" w:type="dxa"/>
            <w:bottom w:w="0" w:type="dxa"/>
            <w:right w:w="108" w:type="dxa"/>
          </w:tblCellMar>
        </w:tblPrEx>
        <w:trPr>
          <w:cantSplit/>
          <w:tblHeader/>
        </w:trPr>
        <w:tc>
          <w:tcPr>
            <w:tcW w:w="714" w:type="dxa"/>
            <w:vMerge w:val="restart"/>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财政资金安排和使用情况</w:t>
            </w:r>
          </w:p>
        </w:tc>
        <w:tc>
          <w:tcPr>
            <w:tcW w:w="714" w:type="dxa"/>
            <w:gridSpan w:val="2"/>
            <w:vMerge w:val="restart"/>
            <w:tcMar>
              <w:left w:w="108" w:type="dxa"/>
              <w:right w:w="108" w:type="dxa"/>
            </w:tcMar>
            <w:vAlign w:val="center"/>
          </w:tcPr>
          <w:p>
            <w:pPr>
              <w:spacing w:before="0" w:after="0" w:line="240" w:lineRule="auto"/>
              <w:jc w:val="center"/>
              <w:textAlignment w:val="center"/>
            </w:pPr>
          </w:p>
        </w:tc>
        <w:tc>
          <w:tcPr>
            <w:tcW w:w="714" w:type="dxa"/>
            <w:gridSpan w:val="3"/>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预算安排</w:t>
            </w:r>
          </w:p>
        </w:tc>
        <w:tc>
          <w:tcPr>
            <w:tcW w:w="714"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拨付情况</w:t>
            </w:r>
          </w:p>
        </w:tc>
        <w:tc>
          <w:tcPr>
            <w:tcW w:w="714" w:type="dxa"/>
            <w:gridSpan w:val="4"/>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结余情况</w:t>
            </w:r>
          </w:p>
        </w:tc>
        <w:tc>
          <w:tcPr>
            <w:tcW w:w="714" w:type="dxa"/>
            <w:vMerge w:val="restart"/>
            <w:tcMar>
              <w:left w:w="108" w:type="dxa"/>
              <w:right w:w="108" w:type="dxa"/>
            </w:tcMar>
            <w:vAlign w:val="center"/>
          </w:tcPr>
          <w:p>
            <w:pPr>
              <w:spacing w:before="0" w:after="0" w:line="240" w:lineRule="auto"/>
              <w:jc w:val="center"/>
              <w:textAlignment w:val="center"/>
            </w:pPr>
            <w:r>
              <w:rPr>
                <w:rFonts w:ascii="宋体" w:eastAsia="宋体" w:hAnsi="宋体" w:cs="宋体"/>
                <w:b w:val="0"/>
                <w:color w:val="000000"/>
                <w:sz w:val="21"/>
              </w:rPr>
              <w:t>分值</w:t>
            </w:r>
          </w:p>
        </w:tc>
        <w:tc>
          <w:tcPr>
            <w:tcW w:w="714" w:type="dxa"/>
            <w:vMerge w:val="restart"/>
            <w:tcMar>
              <w:left w:w="108" w:type="dxa"/>
              <w:right w:w="108" w:type="dxa"/>
            </w:tcMar>
            <w:vAlign w:val="center"/>
          </w:tcPr>
          <w:p>
            <w:pPr>
              <w:spacing w:before="0" w:after="0" w:line="240" w:lineRule="auto"/>
              <w:jc w:val="center"/>
              <w:textAlignment w:val="center"/>
            </w:pPr>
            <w:r>
              <w:rPr>
                <w:rFonts w:ascii="宋体" w:eastAsia="宋体" w:hAnsi="宋体" w:cs="宋体"/>
                <w:b w:val="0"/>
                <w:color w:val="000000"/>
                <w:sz w:val="21"/>
              </w:rPr>
              <w:t>得分</w:t>
            </w:r>
          </w:p>
        </w:tc>
      </w:tr>
      <w:tr>
        <w:tblPrEx>
          <w:tblW w:w="10000" w:type="dxa"/>
          <w:tblLayout w:type="fixed"/>
          <w:tblCellMar>
            <w:top w:w="0" w:type="dxa"/>
            <w:left w:w="108" w:type="dxa"/>
            <w:bottom w:w="0" w:type="dxa"/>
            <w:right w:w="108" w:type="dxa"/>
          </w:tblCellMar>
        </w:tblPrEx>
        <w:trPr>
          <w:cantSplit/>
          <w:tblHeader/>
        </w:trPr>
        <w:tc>
          <w:tcPr>
            <w:tcW w:w="2876" w:type="dxa"/>
            <w:vMerge/>
            <w:tcMar>
              <w:left w:w="108" w:type="dxa"/>
              <w:right w:w="108" w:type="dxa"/>
            </w:tcMar>
          </w:tcPr>
          <w:p/>
        </w:tc>
        <w:tc>
          <w:tcPr>
            <w:tcW w:w="3992" w:type="dxa"/>
            <w:gridSpan w:val="2"/>
            <w:vMerge/>
            <w:tcMar>
              <w:left w:w="108" w:type="dxa"/>
              <w:right w:w="108" w:type="dxa"/>
            </w:tcMar>
          </w:tcP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年初部门预算安排金额（含历年结余结转）①</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年中调整金额②</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小计 ③ = ①+②</w:t>
            </w:r>
          </w:p>
        </w:tc>
        <w:tc>
          <w:tcPr>
            <w:tcW w:w="714"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年度拨付金额 ④</w:t>
            </w:r>
          </w:p>
        </w:tc>
        <w:tc>
          <w:tcPr>
            <w:tcW w:w="714"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支出实现率(%) ⑤=④/③</w:t>
            </w:r>
          </w:p>
        </w:tc>
        <w:tc>
          <w:tcPr>
            <w:tcW w:w="714"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本年度结余金额⑥=③-④</w:t>
            </w:r>
          </w:p>
        </w:tc>
        <w:tc>
          <w:tcPr>
            <w:tcW w:w="714"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资金结余率(%) ⑦=⑥/③</w:t>
            </w:r>
          </w:p>
        </w:tc>
        <w:tc>
          <w:tcPr>
            <w:tcW w:w="676" w:type="dxa"/>
            <w:vMerge/>
            <w:tcMar>
              <w:left w:w="108" w:type="dxa"/>
              <w:right w:w="108" w:type="dxa"/>
            </w:tcMar>
          </w:tcPr>
          <w:p/>
        </w:tc>
        <w:tc>
          <w:tcPr>
            <w:tcW w:w="676" w:type="dxa"/>
            <w:vMerge/>
            <w:tcMar>
              <w:left w:w="108" w:type="dxa"/>
              <w:right w:w="108" w:type="dxa"/>
            </w:tcMar>
          </w:tcPr>
          <w:p/>
        </w:tc>
      </w:tr>
      <w:tr>
        <w:tblPrEx>
          <w:tblW w:w="10000" w:type="dxa"/>
          <w:tblLayout w:type="fixed"/>
          <w:tblCellMar>
            <w:top w:w="0" w:type="dxa"/>
            <w:left w:w="108" w:type="dxa"/>
            <w:bottom w:w="0" w:type="dxa"/>
            <w:right w:w="108" w:type="dxa"/>
          </w:tblCellMar>
        </w:tblPrEx>
        <w:trPr>
          <w:cantSplit/>
          <w:tblHeader/>
        </w:trPr>
        <w:tc>
          <w:tcPr>
            <w:tcW w:w="2876" w:type="dxa"/>
            <w:vMerge/>
            <w:tcMar>
              <w:left w:w="108" w:type="dxa"/>
              <w:right w:w="108" w:type="dxa"/>
            </w:tcMar>
          </w:tcPr>
          <w:p/>
        </w:tc>
        <w:tc>
          <w:tcPr>
            <w:tcW w:w="714"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合计</w:t>
            </w:r>
          </w:p>
        </w:tc>
        <w:tc>
          <w:tcPr>
            <w:tcW w:w="714"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256.09</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163.49</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419.58</w:t>
            </w:r>
          </w:p>
        </w:tc>
        <w:tc>
          <w:tcPr>
            <w:tcW w:w="714"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398.74</w:t>
            </w:r>
          </w:p>
        </w:tc>
        <w:tc>
          <w:tcPr>
            <w:tcW w:w="714"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95.03</w:t>
            </w:r>
          </w:p>
        </w:tc>
        <w:tc>
          <w:tcPr>
            <w:tcW w:w="714"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20.84</w:t>
            </w:r>
          </w:p>
        </w:tc>
        <w:tc>
          <w:tcPr>
            <w:tcW w:w="714"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4.9700</w:t>
            </w:r>
          </w:p>
        </w:tc>
        <w:tc>
          <w:tcPr>
            <w:tcW w:w="714" w:type="dxa"/>
            <w:tcMar>
              <w:left w:w="108" w:type="dxa"/>
              <w:right w:w="108" w:type="dxa"/>
            </w:tcMar>
            <w:vAlign w:val="center"/>
          </w:tcPr>
          <w:p>
            <w:pPr>
              <w:spacing w:before="0" w:after="0" w:line="240" w:lineRule="auto"/>
              <w:jc w:val="center"/>
              <w:textAlignment w:val="center"/>
            </w:pPr>
            <w:r>
              <w:rPr>
                <w:rFonts w:ascii="宋体" w:eastAsia="宋体" w:hAnsi="宋体" w:cs="宋体"/>
                <w:b w:val="0"/>
                <w:color w:val="000000"/>
                <w:sz w:val="21"/>
              </w:rPr>
              <w:t>10</w:t>
            </w:r>
          </w:p>
        </w:tc>
        <w:tc>
          <w:tcPr>
            <w:tcW w:w="714" w:type="dxa"/>
            <w:tcMar>
              <w:left w:w="108" w:type="dxa"/>
              <w:right w:w="108" w:type="dxa"/>
            </w:tcMar>
            <w:vAlign w:val="center"/>
          </w:tcPr>
          <w:p>
            <w:pPr>
              <w:spacing w:before="0" w:after="0" w:line="240" w:lineRule="auto"/>
              <w:jc w:val="center"/>
              <w:textAlignment w:val="center"/>
            </w:pPr>
            <w:r>
              <w:rPr>
                <w:rFonts w:ascii="宋体" w:eastAsia="宋体" w:hAnsi="宋体" w:cs="宋体"/>
                <w:b w:val="0"/>
                <w:color w:val="000000"/>
                <w:sz w:val="21"/>
              </w:rPr>
              <w:t>10</w:t>
            </w:r>
          </w:p>
        </w:tc>
      </w:tr>
      <w:tr>
        <w:tblPrEx>
          <w:tblW w:w="10000" w:type="dxa"/>
          <w:tblLayout w:type="fixed"/>
          <w:tblCellMar>
            <w:top w:w="0" w:type="dxa"/>
            <w:left w:w="108" w:type="dxa"/>
            <w:bottom w:w="0" w:type="dxa"/>
            <w:right w:w="108" w:type="dxa"/>
          </w:tblCellMar>
        </w:tblPrEx>
        <w:trPr>
          <w:cantSplit/>
          <w:tblHeader/>
        </w:trPr>
        <w:tc>
          <w:tcPr>
            <w:tcW w:w="2876" w:type="dxa"/>
            <w:vMerge/>
            <w:tcMar>
              <w:left w:w="108" w:type="dxa"/>
              <w:right w:w="108" w:type="dxa"/>
            </w:tcMar>
          </w:tcPr>
          <w:p/>
        </w:tc>
        <w:tc>
          <w:tcPr>
            <w:tcW w:w="714"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财政资金小计</w:t>
            </w:r>
          </w:p>
        </w:tc>
        <w:tc>
          <w:tcPr>
            <w:tcW w:w="714"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256.09</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163.49</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419.58</w:t>
            </w:r>
          </w:p>
        </w:tc>
        <w:tc>
          <w:tcPr>
            <w:tcW w:w="714"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398.74</w:t>
            </w:r>
          </w:p>
        </w:tc>
        <w:tc>
          <w:tcPr>
            <w:tcW w:w="714"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95.03</w:t>
            </w:r>
          </w:p>
        </w:tc>
        <w:tc>
          <w:tcPr>
            <w:tcW w:w="714"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20.84</w:t>
            </w:r>
          </w:p>
        </w:tc>
        <w:tc>
          <w:tcPr>
            <w:tcW w:w="714"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4.9700</w:t>
            </w:r>
          </w:p>
        </w:tc>
        <w:tc>
          <w:tcPr>
            <w:tcW w:w="714" w:type="dxa"/>
            <w:tcMar>
              <w:left w:w="108" w:type="dxa"/>
              <w:right w:w="108" w:type="dxa"/>
            </w:tcMar>
            <w:vAlign w:val="center"/>
          </w:tcPr>
          <w:p>
            <w:pPr>
              <w:spacing w:before="0" w:after="0" w:line="240" w:lineRule="auto"/>
              <w:jc w:val="left"/>
              <w:textAlignment w:val="center"/>
            </w:pPr>
          </w:p>
        </w:tc>
        <w:tc>
          <w:tcPr>
            <w:tcW w:w="714" w:type="dxa"/>
            <w:tcMar>
              <w:left w:w="108" w:type="dxa"/>
              <w:right w:w="108" w:type="dxa"/>
            </w:tcMar>
            <w:vAlign w:val="center"/>
          </w:tcPr>
          <w:p>
            <w:pPr>
              <w:spacing w:before="0" w:after="0" w:line="240" w:lineRule="auto"/>
              <w:jc w:val="left"/>
              <w:textAlignment w:val="center"/>
            </w:pPr>
          </w:p>
        </w:tc>
      </w:tr>
      <w:tr>
        <w:tblPrEx>
          <w:tblW w:w="10000" w:type="dxa"/>
          <w:tblLayout w:type="fixed"/>
          <w:tblCellMar>
            <w:top w:w="0" w:type="dxa"/>
            <w:left w:w="108" w:type="dxa"/>
            <w:bottom w:w="0" w:type="dxa"/>
            <w:right w:w="108" w:type="dxa"/>
          </w:tblCellMar>
        </w:tblPrEx>
        <w:trPr>
          <w:cantSplit/>
          <w:tblHeader/>
        </w:trPr>
        <w:tc>
          <w:tcPr>
            <w:tcW w:w="2876" w:type="dxa"/>
            <w:vMerge/>
            <w:tcMar>
              <w:left w:w="108" w:type="dxa"/>
              <w:right w:w="108" w:type="dxa"/>
            </w:tcMar>
          </w:tcPr>
          <w:p/>
        </w:tc>
        <w:tc>
          <w:tcPr>
            <w:tcW w:w="714"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①中央财政资金</w:t>
            </w:r>
          </w:p>
        </w:tc>
        <w:tc>
          <w:tcPr>
            <w:tcW w:w="714"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0.00</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0.00</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0.00</w:t>
            </w:r>
          </w:p>
        </w:tc>
        <w:tc>
          <w:tcPr>
            <w:tcW w:w="714"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0.00</w:t>
            </w:r>
          </w:p>
        </w:tc>
        <w:tc>
          <w:tcPr>
            <w:tcW w:w="714"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0.00</w:t>
            </w:r>
          </w:p>
        </w:tc>
        <w:tc>
          <w:tcPr>
            <w:tcW w:w="714"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0.00</w:t>
            </w:r>
          </w:p>
        </w:tc>
        <w:tc>
          <w:tcPr>
            <w:tcW w:w="714"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0.00</w:t>
            </w:r>
          </w:p>
        </w:tc>
        <w:tc>
          <w:tcPr>
            <w:tcW w:w="714" w:type="dxa"/>
            <w:tcMar>
              <w:left w:w="108" w:type="dxa"/>
              <w:right w:w="108" w:type="dxa"/>
            </w:tcMar>
            <w:vAlign w:val="center"/>
          </w:tcPr>
          <w:p>
            <w:pPr>
              <w:spacing w:before="0" w:after="0" w:line="240" w:lineRule="auto"/>
              <w:jc w:val="left"/>
              <w:textAlignment w:val="center"/>
            </w:pPr>
          </w:p>
        </w:tc>
        <w:tc>
          <w:tcPr>
            <w:tcW w:w="714" w:type="dxa"/>
            <w:tcMar>
              <w:left w:w="108" w:type="dxa"/>
              <w:right w:w="108" w:type="dxa"/>
            </w:tcMar>
            <w:vAlign w:val="center"/>
          </w:tcPr>
          <w:p>
            <w:pPr>
              <w:spacing w:before="0" w:after="0" w:line="240" w:lineRule="auto"/>
              <w:jc w:val="left"/>
              <w:textAlignment w:val="center"/>
            </w:pPr>
          </w:p>
        </w:tc>
      </w:tr>
      <w:tr>
        <w:tblPrEx>
          <w:tblW w:w="10000" w:type="dxa"/>
          <w:tblLayout w:type="fixed"/>
          <w:tblCellMar>
            <w:top w:w="0" w:type="dxa"/>
            <w:left w:w="108" w:type="dxa"/>
            <w:bottom w:w="0" w:type="dxa"/>
            <w:right w:w="108" w:type="dxa"/>
          </w:tblCellMar>
        </w:tblPrEx>
        <w:trPr>
          <w:cantSplit/>
          <w:tblHeader/>
        </w:trPr>
        <w:tc>
          <w:tcPr>
            <w:tcW w:w="2876" w:type="dxa"/>
            <w:vMerge/>
            <w:tcMar>
              <w:left w:w="108" w:type="dxa"/>
              <w:right w:w="108" w:type="dxa"/>
            </w:tcMar>
          </w:tcPr>
          <w:p/>
        </w:tc>
        <w:tc>
          <w:tcPr>
            <w:tcW w:w="714"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②省级财政资金</w:t>
            </w:r>
          </w:p>
        </w:tc>
        <w:tc>
          <w:tcPr>
            <w:tcW w:w="714"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0.00</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0.00</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0.00</w:t>
            </w:r>
          </w:p>
        </w:tc>
        <w:tc>
          <w:tcPr>
            <w:tcW w:w="714"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0.00</w:t>
            </w:r>
          </w:p>
        </w:tc>
        <w:tc>
          <w:tcPr>
            <w:tcW w:w="714"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0.00</w:t>
            </w:r>
          </w:p>
        </w:tc>
        <w:tc>
          <w:tcPr>
            <w:tcW w:w="714"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0.00</w:t>
            </w:r>
          </w:p>
        </w:tc>
        <w:tc>
          <w:tcPr>
            <w:tcW w:w="714"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0.00</w:t>
            </w:r>
          </w:p>
        </w:tc>
        <w:tc>
          <w:tcPr>
            <w:tcW w:w="714" w:type="dxa"/>
            <w:tcMar>
              <w:left w:w="108" w:type="dxa"/>
              <w:right w:w="108" w:type="dxa"/>
            </w:tcMar>
            <w:vAlign w:val="center"/>
          </w:tcPr>
          <w:p>
            <w:pPr>
              <w:spacing w:before="0" w:after="0" w:line="240" w:lineRule="auto"/>
              <w:jc w:val="left"/>
              <w:textAlignment w:val="center"/>
            </w:pPr>
          </w:p>
        </w:tc>
        <w:tc>
          <w:tcPr>
            <w:tcW w:w="714" w:type="dxa"/>
            <w:tcMar>
              <w:left w:w="108" w:type="dxa"/>
              <w:right w:w="108" w:type="dxa"/>
            </w:tcMar>
            <w:vAlign w:val="center"/>
          </w:tcPr>
          <w:p>
            <w:pPr>
              <w:spacing w:before="0" w:after="0" w:line="240" w:lineRule="auto"/>
              <w:jc w:val="left"/>
              <w:textAlignment w:val="center"/>
            </w:pPr>
          </w:p>
        </w:tc>
      </w:tr>
      <w:tr>
        <w:tblPrEx>
          <w:tblW w:w="10000" w:type="dxa"/>
          <w:tblLayout w:type="fixed"/>
          <w:tblCellMar>
            <w:top w:w="0" w:type="dxa"/>
            <w:left w:w="108" w:type="dxa"/>
            <w:bottom w:w="0" w:type="dxa"/>
            <w:right w:w="108" w:type="dxa"/>
          </w:tblCellMar>
        </w:tblPrEx>
        <w:trPr>
          <w:cantSplit/>
          <w:tblHeader/>
        </w:trPr>
        <w:tc>
          <w:tcPr>
            <w:tcW w:w="2876" w:type="dxa"/>
            <w:vMerge/>
            <w:tcMar>
              <w:left w:w="108" w:type="dxa"/>
              <w:right w:w="108" w:type="dxa"/>
            </w:tcMar>
          </w:tcPr>
          <w:p/>
        </w:tc>
        <w:tc>
          <w:tcPr>
            <w:tcW w:w="714"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③地方财政资金</w:t>
            </w:r>
          </w:p>
        </w:tc>
        <w:tc>
          <w:tcPr>
            <w:tcW w:w="714"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256.09</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163.49</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419.58</w:t>
            </w:r>
          </w:p>
        </w:tc>
        <w:tc>
          <w:tcPr>
            <w:tcW w:w="714"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398.74</w:t>
            </w:r>
          </w:p>
        </w:tc>
        <w:tc>
          <w:tcPr>
            <w:tcW w:w="714"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95.03</w:t>
            </w:r>
          </w:p>
        </w:tc>
        <w:tc>
          <w:tcPr>
            <w:tcW w:w="714"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20.84</w:t>
            </w:r>
          </w:p>
        </w:tc>
        <w:tc>
          <w:tcPr>
            <w:tcW w:w="714"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4.9700</w:t>
            </w:r>
          </w:p>
        </w:tc>
        <w:tc>
          <w:tcPr>
            <w:tcW w:w="714" w:type="dxa"/>
            <w:tcMar>
              <w:left w:w="108" w:type="dxa"/>
              <w:right w:w="108" w:type="dxa"/>
            </w:tcMar>
            <w:vAlign w:val="center"/>
          </w:tcPr>
          <w:p>
            <w:pPr>
              <w:spacing w:before="0" w:after="0" w:line="240" w:lineRule="auto"/>
              <w:jc w:val="left"/>
              <w:textAlignment w:val="center"/>
            </w:pPr>
          </w:p>
        </w:tc>
        <w:tc>
          <w:tcPr>
            <w:tcW w:w="714" w:type="dxa"/>
            <w:tcMar>
              <w:left w:w="108" w:type="dxa"/>
              <w:right w:w="108" w:type="dxa"/>
            </w:tcMar>
            <w:vAlign w:val="center"/>
          </w:tcPr>
          <w:p>
            <w:pPr>
              <w:spacing w:before="0" w:after="0" w:line="240" w:lineRule="auto"/>
              <w:jc w:val="left"/>
              <w:textAlignment w:val="center"/>
            </w:pPr>
          </w:p>
        </w:tc>
      </w:tr>
      <w:tr>
        <w:tblPrEx>
          <w:tblW w:w="10000" w:type="dxa"/>
          <w:tblLayout w:type="fixed"/>
          <w:tblCellMar>
            <w:top w:w="0" w:type="dxa"/>
            <w:left w:w="108" w:type="dxa"/>
            <w:bottom w:w="0" w:type="dxa"/>
            <w:right w:w="108" w:type="dxa"/>
          </w:tblCellMar>
        </w:tblPrEx>
        <w:trPr>
          <w:cantSplit/>
          <w:tblHeader/>
        </w:trPr>
        <w:tc>
          <w:tcPr>
            <w:tcW w:w="2876" w:type="dxa"/>
            <w:vMerge/>
            <w:tcMar>
              <w:left w:w="108" w:type="dxa"/>
              <w:right w:w="108" w:type="dxa"/>
            </w:tcMar>
          </w:tcPr>
          <w:p/>
        </w:tc>
        <w:tc>
          <w:tcPr>
            <w:tcW w:w="714"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其他资金小计</w:t>
            </w:r>
          </w:p>
        </w:tc>
        <w:tc>
          <w:tcPr>
            <w:tcW w:w="714"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0.00</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0.00</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0.00</w:t>
            </w:r>
          </w:p>
        </w:tc>
        <w:tc>
          <w:tcPr>
            <w:tcW w:w="714"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0.00</w:t>
            </w:r>
          </w:p>
        </w:tc>
        <w:tc>
          <w:tcPr>
            <w:tcW w:w="714" w:type="dxa"/>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0.00</w:t>
            </w:r>
          </w:p>
        </w:tc>
        <w:tc>
          <w:tcPr>
            <w:tcW w:w="714"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0.00</w:t>
            </w:r>
          </w:p>
        </w:tc>
        <w:tc>
          <w:tcPr>
            <w:tcW w:w="714"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0.00</w:t>
            </w:r>
          </w:p>
        </w:tc>
        <w:tc>
          <w:tcPr>
            <w:tcW w:w="714" w:type="dxa"/>
            <w:tcMar>
              <w:left w:w="108" w:type="dxa"/>
              <w:right w:w="108" w:type="dxa"/>
            </w:tcMar>
            <w:vAlign w:val="center"/>
          </w:tcPr>
          <w:p>
            <w:pPr>
              <w:spacing w:before="0" w:after="0" w:line="240" w:lineRule="auto"/>
              <w:jc w:val="left"/>
              <w:textAlignment w:val="center"/>
            </w:pPr>
          </w:p>
        </w:tc>
        <w:tc>
          <w:tcPr>
            <w:tcW w:w="714" w:type="dxa"/>
            <w:tcMar>
              <w:left w:w="108" w:type="dxa"/>
              <w:right w:w="108" w:type="dxa"/>
            </w:tcMar>
            <w:vAlign w:val="center"/>
          </w:tcPr>
          <w:p>
            <w:pPr>
              <w:spacing w:before="0" w:after="0" w:line="240" w:lineRule="auto"/>
              <w:jc w:val="left"/>
              <w:textAlignment w:val="center"/>
            </w:pPr>
          </w:p>
        </w:tc>
      </w:tr>
      <w:tr>
        <w:tblPrEx>
          <w:tblW w:w="10000" w:type="dxa"/>
          <w:tblLayout w:type="fixed"/>
          <w:tblCellMar>
            <w:top w:w="0" w:type="dxa"/>
            <w:left w:w="108" w:type="dxa"/>
            <w:bottom w:w="0" w:type="dxa"/>
            <w:right w:w="108" w:type="dxa"/>
          </w:tblCellMar>
        </w:tblPrEx>
        <w:trPr>
          <w:cantSplit/>
          <w:tblHeader/>
        </w:trPr>
        <w:tc>
          <w:tcPr>
            <w:tcW w:w="714" w:type="dxa"/>
            <w:vMerge w:val="restart"/>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年度总体目标</w:t>
            </w:r>
          </w:p>
        </w:tc>
        <w:tc>
          <w:tcPr>
            <w:tcW w:w="714" w:type="dxa"/>
            <w:gridSpan w:val="6"/>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预期目标</w:t>
            </w:r>
          </w:p>
        </w:tc>
        <w:tc>
          <w:tcPr>
            <w:tcW w:w="714" w:type="dxa"/>
            <w:gridSpan w:val="7"/>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目标实际完成情况</w:t>
            </w:r>
          </w:p>
        </w:tc>
      </w:tr>
      <w:tr>
        <w:tblPrEx>
          <w:tblW w:w="10000" w:type="dxa"/>
          <w:tblLayout w:type="fixed"/>
          <w:tblCellMar>
            <w:top w:w="0" w:type="dxa"/>
            <w:left w:w="108" w:type="dxa"/>
            <w:bottom w:w="0" w:type="dxa"/>
            <w:right w:w="108" w:type="dxa"/>
          </w:tblCellMar>
        </w:tblPrEx>
        <w:trPr>
          <w:cantSplit/>
          <w:tblHeader/>
        </w:trPr>
        <w:tc>
          <w:tcPr>
            <w:tcW w:w="2876" w:type="dxa"/>
            <w:vMerge/>
            <w:tcMar>
              <w:left w:w="108" w:type="dxa"/>
              <w:right w:w="108" w:type="dxa"/>
            </w:tcMar>
          </w:tcPr>
          <w:p/>
        </w:tc>
        <w:tc>
          <w:tcPr>
            <w:tcW w:w="714" w:type="dxa"/>
            <w:gridSpan w:val="6"/>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信访维稳，化解信访积案、个案；社会工作日常事务</w:t>
            </w:r>
          </w:p>
        </w:tc>
        <w:tc>
          <w:tcPr>
            <w:tcW w:w="714" w:type="dxa"/>
            <w:gridSpan w:val="7"/>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信访维稳，化解信访积案，个案，社会工作日常事务</w:t>
            </w:r>
          </w:p>
        </w:tc>
      </w:tr>
      <w:tr>
        <w:tblPrEx>
          <w:tblW w:w="10000" w:type="dxa"/>
          <w:tblLayout w:type="fixed"/>
          <w:tblCellMar>
            <w:top w:w="0" w:type="dxa"/>
            <w:left w:w="108" w:type="dxa"/>
            <w:bottom w:w="0" w:type="dxa"/>
            <w:right w:w="108" w:type="dxa"/>
          </w:tblCellMar>
        </w:tblPrEx>
        <w:trPr>
          <w:cantSplit/>
          <w:tblHeader/>
        </w:trPr>
        <w:tc>
          <w:tcPr>
            <w:tcW w:w="714" w:type="dxa"/>
            <w:vMerge w:val="restart"/>
            <w:tcMar>
              <w:left w:w="108" w:type="dxa"/>
              <w:right w:w="108" w:type="dxa"/>
            </w:tcMar>
            <w:vAlign w:val="center"/>
          </w:tcPr>
          <w:p>
            <w:pPr>
              <w:spacing w:before="0" w:after="0" w:line="240" w:lineRule="auto"/>
              <w:jc w:val="left"/>
              <w:textAlignment w:val="center"/>
            </w:pPr>
            <w:r>
              <w:rPr>
                <w:rFonts w:ascii="宋体" w:eastAsia="宋体" w:hAnsi="宋体" w:cs="宋体"/>
                <w:b w:val="0"/>
                <w:sz w:val="21"/>
              </w:rPr>
              <w:t>绩效</w:t>
              <w:br/>
            </w:r>
            <w:r>
              <w:rPr>
                <w:rFonts w:ascii="宋体" w:eastAsia="宋体" w:hAnsi="宋体" w:cs="宋体"/>
                <w:b w:val="0"/>
                <w:sz w:val="21"/>
              </w:rPr>
              <w:t>指标</w:t>
              <w:br/>
            </w:r>
            <w:r>
              <w:rPr>
                <w:rFonts w:ascii="宋体" w:eastAsia="宋体" w:hAnsi="宋体" w:cs="宋体"/>
                <w:b w:val="0"/>
                <w:sz w:val="21"/>
              </w:rPr>
              <w:t>绩效</w:t>
              <w:br/>
            </w:r>
            <w:r>
              <w:rPr>
                <w:rFonts w:ascii="宋体" w:eastAsia="宋体" w:hAnsi="宋体" w:cs="宋体"/>
                <w:b w:val="0"/>
                <w:sz w:val="21"/>
              </w:rPr>
              <w:t>指标</w:t>
              <w:br/>
            </w:r>
            <w:r>
              <w:rPr>
                <w:rFonts w:ascii="宋体" w:eastAsia="宋体" w:hAnsi="宋体" w:cs="宋体"/>
                <w:b w:val="0"/>
                <w:sz w:val="21"/>
              </w:rPr>
              <w:t>绩效</w:t>
              <w:br/>
            </w:r>
            <w:r>
              <w:rPr>
                <w:rFonts w:ascii="宋体" w:eastAsia="宋体" w:hAnsi="宋体" w:cs="宋体"/>
                <w:b w:val="0"/>
                <w:sz w:val="21"/>
              </w:rPr>
              <w:t>指标</w:t>
              <w:br/>
            </w:r>
            <w:r>
              <w:rPr>
                <w:rFonts w:ascii="宋体" w:eastAsia="宋体" w:hAnsi="宋体" w:cs="宋体"/>
                <w:b w:val="0"/>
                <w:sz w:val="21"/>
              </w:rPr>
              <w:t>绩效</w:t>
              <w:br/>
            </w:r>
            <w:r>
              <w:rPr>
                <w:rFonts w:ascii="宋体" w:eastAsia="宋体" w:hAnsi="宋体" w:cs="宋体"/>
                <w:b w:val="0"/>
                <w:sz w:val="21"/>
              </w:rPr>
              <w:t>指标</w:t>
              <w:br/>
            </w:r>
            <w:r>
              <w:rPr>
                <w:rFonts w:ascii="宋体" w:eastAsia="宋体" w:hAnsi="宋体" w:cs="宋体"/>
                <w:b w:val="0"/>
                <w:sz w:val="21"/>
              </w:rPr>
              <w:t>绩效</w:t>
              <w:br/>
            </w:r>
            <w:r>
              <w:rPr>
                <w:rFonts w:ascii="宋体" w:eastAsia="宋体" w:hAnsi="宋体" w:cs="宋体"/>
                <w:b w:val="0"/>
                <w:sz w:val="21"/>
              </w:rPr>
              <w:t>指标</w:t>
              <w:br/>
            </w:r>
            <w:r>
              <w:rPr>
                <w:rFonts w:ascii="宋体" w:eastAsia="宋体" w:hAnsi="宋体" w:cs="宋体"/>
                <w:b w:val="0"/>
                <w:sz w:val="21"/>
              </w:rPr>
              <w:t>绩效</w:t>
              <w:br/>
            </w:r>
            <w:r>
              <w:rPr>
                <w:rFonts w:ascii="宋体" w:eastAsia="宋体" w:hAnsi="宋体" w:cs="宋体"/>
                <w:b w:val="0"/>
                <w:sz w:val="21"/>
              </w:rPr>
              <w:t>指标</w:t>
              <w:br/>
            </w:r>
            <w:r>
              <w:rPr>
                <w:rFonts w:ascii="宋体" w:eastAsia="宋体" w:hAnsi="宋体" w:cs="宋体"/>
                <w:b w:val="0"/>
                <w:sz w:val="21"/>
              </w:rPr>
              <w:t>绩效</w:t>
              <w:br/>
            </w:r>
            <w:r>
              <w:rPr>
                <w:rFonts w:ascii="宋体" w:eastAsia="宋体" w:hAnsi="宋体" w:cs="宋体"/>
                <w:b w:val="0"/>
                <w:sz w:val="21"/>
              </w:rPr>
              <w:t>指标</w:t>
              <w:br/>
            </w:r>
            <w:r>
              <w:rPr>
                <w:rFonts w:ascii="宋体" w:eastAsia="宋体" w:hAnsi="宋体" w:cs="宋体"/>
                <w:b w:val="0"/>
                <w:sz w:val="21"/>
              </w:rPr>
              <w:t>绩效</w:t>
              <w:br/>
            </w:r>
            <w:r>
              <w:rPr>
                <w:rFonts w:ascii="宋体" w:eastAsia="宋体" w:hAnsi="宋体" w:cs="宋体"/>
                <w:b w:val="0"/>
                <w:sz w:val="21"/>
              </w:rPr>
              <w:t>指标</w:t>
              <w:br/>
            </w:r>
            <w:r>
              <w:rPr>
                <w:rFonts w:ascii="宋体" w:eastAsia="宋体" w:hAnsi="宋体" w:cs="宋体"/>
                <w:b w:val="0"/>
                <w:sz w:val="21"/>
              </w:rPr>
              <w:t>绩效</w:t>
              <w:br/>
            </w:r>
            <w:r>
              <w:rPr>
                <w:rFonts w:ascii="宋体" w:eastAsia="宋体" w:hAnsi="宋体" w:cs="宋体"/>
                <w:b w:val="0"/>
                <w:sz w:val="21"/>
              </w:rPr>
              <w:t>指标</w:t>
              <w:br/>
            </w:r>
            <w:r>
              <w:rPr>
                <w:rFonts w:ascii="宋体" w:eastAsia="宋体" w:hAnsi="宋体" w:cs="宋体"/>
                <w:b w:val="0"/>
                <w:sz w:val="21"/>
              </w:rPr>
              <w:t>绩效</w:t>
              <w:br/>
            </w:r>
            <w:r>
              <w:rPr>
                <w:rFonts w:ascii="宋体" w:eastAsia="宋体" w:hAnsi="宋体" w:cs="宋体"/>
                <w:b w:val="0"/>
                <w:sz w:val="21"/>
              </w:rPr>
              <w:t>指标</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一级指标</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二级指标</w:t>
            </w:r>
          </w:p>
        </w:tc>
        <w:tc>
          <w:tcPr>
            <w:tcW w:w="714"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三级指标</w:t>
            </w:r>
          </w:p>
        </w:tc>
        <w:tc>
          <w:tcPr>
            <w:tcW w:w="714"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年度指标值</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实际完成值</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指标分值</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自评得分</w:t>
            </w:r>
          </w:p>
        </w:tc>
        <w:tc>
          <w:tcPr>
            <w:tcW w:w="714" w:type="dxa"/>
            <w:gridSpan w:val="4"/>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偏差原因分析及改进措施</w:t>
            </w:r>
          </w:p>
        </w:tc>
      </w:tr>
      <w:tr>
        <w:tblPrEx>
          <w:tblW w:w="10000" w:type="dxa"/>
          <w:tblLayout w:type="fixed"/>
          <w:tblCellMar>
            <w:top w:w="0" w:type="dxa"/>
            <w:left w:w="108" w:type="dxa"/>
            <w:bottom w:w="0" w:type="dxa"/>
            <w:right w:w="108" w:type="dxa"/>
          </w:tblCellMar>
        </w:tblPrEx>
        <w:trPr>
          <w:cantSplit/>
          <w:tblHeader/>
        </w:trPr>
        <w:tc>
          <w:tcPr>
            <w:tcW w:w="2876" w:type="dxa"/>
            <w:vMerge/>
            <w:tcMar>
              <w:left w:w="108" w:type="dxa"/>
              <w:right w:w="108" w:type="dxa"/>
            </w:tcMar>
          </w:tcPr>
          <w:p/>
        </w:tc>
        <w:tc>
          <w:tcPr>
            <w:tcW w:w="714" w:type="dxa"/>
            <w:vMerge w:val="restart"/>
            <w:tcMar>
              <w:left w:w="108" w:type="dxa"/>
              <w:right w:w="108" w:type="dxa"/>
            </w:tcMar>
            <w:vAlign w:val="center"/>
          </w:tcPr>
          <w:p>
            <w:pPr>
              <w:spacing w:before="0" w:after="0" w:line="240" w:lineRule="auto"/>
              <w:jc w:val="left"/>
              <w:textAlignment w:val="center"/>
            </w:pPr>
            <w:r>
              <w:rPr>
                <w:rFonts w:ascii="宋体" w:eastAsia="宋体" w:hAnsi="宋体" w:cs="宋体"/>
                <w:b w:val="0"/>
                <w:sz w:val="21"/>
              </w:rPr>
              <w:t>一般性支出情况</w:t>
              <w:br/>
            </w:r>
            <w:r>
              <w:rPr>
                <w:rFonts w:ascii="宋体" w:eastAsia="宋体" w:hAnsi="宋体" w:cs="宋体"/>
                <w:b w:val="0"/>
                <w:sz w:val="21"/>
              </w:rPr>
              <w:t>一般性支出情况</w:t>
              <w:br/>
            </w:r>
            <w:r>
              <w:rPr>
                <w:rFonts w:ascii="宋体" w:eastAsia="宋体" w:hAnsi="宋体" w:cs="宋体"/>
                <w:b w:val="0"/>
                <w:sz w:val="21"/>
              </w:rPr>
              <w:t>一般性支出情况</w:t>
            </w:r>
          </w:p>
        </w:tc>
        <w:tc>
          <w:tcPr>
            <w:tcW w:w="714" w:type="dxa"/>
            <w:vMerge w:val="restart"/>
            <w:tcMar>
              <w:left w:w="108" w:type="dxa"/>
              <w:right w:w="108" w:type="dxa"/>
            </w:tcMar>
            <w:vAlign w:val="center"/>
          </w:tcPr>
          <w:p>
            <w:pPr>
              <w:spacing w:before="0" w:after="0" w:line="240" w:lineRule="auto"/>
              <w:jc w:val="left"/>
              <w:textAlignment w:val="center"/>
            </w:pPr>
            <w:r>
              <w:rPr>
                <w:rFonts w:ascii="宋体" w:eastAsia="宋体" w:hAnsi="宋体" w:cs="宋体"/>
                <w:b w:val="0"/>
                <w:sz w:val="21"/>
              </w:rPr>
              <w:t>一般性支出情况</w:t>
              <w:br/>
            </w:r>
            <w:r>
              <w:rPr>
                <w:rFonts w:ascii="宋体" w:eastAsia="宋体" w:hAnsi="宋体" w:cs="宋体"/>
                <w:b w:val="0"/>
                <w:sz w:val="21"/>
              </w:rPr>
              <w:t>一般性支出情况</w:t>
              <w:br/>
            </w:r>
            <w:r>
              <w:rPr>
                <w:rFonts w:ascii="宋体" w:eastAsia="宋体" w:hAnsi="宋体" w:cs="宋体"/>
                <w:b w:val="0"/>
                <w:sz w:val="21"/>
              </w:rPr>
              <w:t>一般性支出情况</w:t>
            </w:r>
          </w:p>
        </w:tc>
        <w:tc>
          <w:tcPr>
            <w:tcW w:w="714"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“三公”经费控制率</w:t>
            </w:r>
          </w:p>
        </w:tc>
        <w:tc>
          <w:tcPr>
            <w:tcW w:w="714"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≤100%</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100</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2</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2</w:t>
            </w:r>
          </w:p>
        </w:tc>
        <w:tc>
          <w:tcPr>
            <w:tcW w:w="714" w:type="dxa"/>
            <w:gridSpan w:val="4"/>
            <w:tcMar>
              <w:left w:w="108" w:type="dxa"/>
              <w:right w:w="108" w:type="dxa"/>
            </w:tcMar>
            <w:vAlign w:val="center"/>
          </w:tcPr>
          <w:p>
            <w:pPr>
              <w:spacing w:before="0" w:after="0" w:line="240" w:lineRule="auto"/>
              <w:jc w:val="center"/>
              <w:textAlignment w:val="center"/>
            </w:pPr>
          </w:p>
        </w:tc>
      </w:tr>
      <w:tr>
        <w:tblPrEx>
          <w:tblW w:w="10000" w:type="dxa"/>
          <w:tblLayout w:type="fixed"/>
          <w:tblCellMar>
            <w:top w:w="0" w:type="dxa"/>
            <w:left w:w="108" w:type="dxa"/>
            <w:bottom w:w="0" w:type="dxa"/>
            <w:right w:w="108" w:type="dxa"/>
          </w:tblCellMar>
        </w:tblPrEx>
        <w:trPr>
          <w:cantSplit/>
          <w:tblHeader/>
        </w:trPr>
        <w:tc>
          <w:tcPr>
            <w:tcW w:w="2876" w:type="dxa"/>
            <w:vMerge/>
            <w:tcMar>
              <w:left w:w="108" w:type="dxa"/>
              <w:right w:w="108" w:type="dxa"/>
            </w:tcMar>
          </w:tcPr>
          <w:p/>
        </w:tc>
        <w:tc>
          <w:tcPr>
            <w:tcW w:w="1776" w:type="dxa"/>
            <w:vMerge/>
            <w:tcMar>
              <w:left w:w="108" w:type="dxa"/>
              <w:right w:w="108" w:type="dxa"/>
            </w:tcMar>
          </w:tcPr>
          <w:p/>
        </w:tc>
        <w:tc>
          <w:tcPr>
            <w:tcW w:w="2216" w:type="dxa"/>
            <w:vMerge/>
            <w:tcMar>
              <w:left w:w="108" w:type="dxa"/>
              <w:right w:w="108" w:type="dxa"/>
            </w:tcMar>
          </w:tcPr>
          <w:p/>
        </w:tc>
        <w:tc>
          <w:tcPr>
            <w:tcW w:w="714"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“三公”经费违规使用次数</w:t>
            </w:r>
          </w:p>
        </w:tc>
        <w:tc>
          <w:tcPr>
            <w:tcW w:w="714"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≤0次</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0</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2</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2</w:t>
            </w:r>
          </w:p>
        </w:tc>
        <w:tc>
          <w:tcPr>
            <w:tcW w:w="714" w:type="dxa"/>
            <w:gridSpan w:val="4"/>
            <w:tcMar>
              <w:left w:w="108" w:type="dxa"/>
              <w:right w:w="108" w:type="dxa"/>
            </w:tcMar>
            <w:vAlign w:val="center"/>
          </w:tcPr>
          <w:p>
            <w:pPr>
              <w:spacing w:before="0" w:after="0" w:line="240" w:lineRule="auto"/>
              <w:jc w:val="center"/>
              <w:textAlignment w:val="center"/>
            </w:pPr>
          </w:p>
        </w:tc>
      </w:tr>
      <w:tr>
        <w:tblPrEx>
          <w:tblW w:w="10000" w:type="dxa"/>
          <w:tblLayout w:type="fixed"/>
          <w:tblCellMar>
            <w:top w:w="0" w:type="dxa"/>
            <w:left w:w="108" w:type="dxa"/>
            <w:bottom w:w="0" w:type="dxa"/>
            <w:right w:w="108" w:type="dxa"/>
          </w:tblCellMar>
        </w:tblPrEx>
        <w:trPr>
          <w:cantSplit/>
          <w:tblHeader/>
        </w:trPr>
        <w:tc>
          <w:tcPr>
            <w:tcW w:w="2876" w:type="dxa"/>
            <w:vMerge/>
            <w:tcMar>
              <w:left w:w="108" w:type="dxa"/>
              <w:right w:w="108" w:type="dxa"/>
            </w:tcMar>
          </w:tcPr>
          <w:p/>
        </w:tc>
        <w:tc>
          <w:tcPr>
            <w:tcW w:w="1776" w:type="dxa"/>
            <w:vMerge/>
            <w:tcMar>
              <w:left w:w="108" w:type="dxa"/>
              <w:right w:w="108" w:type="dxa"/>
            </w:tcMar>
          </w:tcPr>
          <w:p/>
        </w:tc>
        <w:tc>
          <w:tcPr>
            <w:tcW w:w="2216" w:type="dxa"/>
            <w:vMerge/>
            <w:tcMar>
              <w:left w:w="108" w:type="dxa"/>
              <w:right w:w="108" w:type="dxa"/>
            </w:tcMar>
          </w:tcPr>
          <w:p/>
        </w:tc>
        <w:tc>
          <w:tcPr>
            <w:tcW w:w="714"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会议费、差旅费超标准使用次数</w:t>
            </w:r>
          </w:p>
        </w:tc>
        <w:tc>
          <w:tcPr>
            <w:tcW w:w="714"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≤0次</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0</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2</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2</w:t>
            </w:r>
          </w:p>
        </w:tc>
        <w:tc>
          <w:tcPr>
            <w:tcW w:w="714" w:type="dxa"/>
            <w:gridSpan w:val="4"/>
            <w:tcMar>
              <w:left w:w="108" w:type="dxa"/>
              <w:right w:w="108" w:type="dxa"/>
            </w:tcMar>
            <w:vAlign w:val="center"/>
          </w:tcPr>
          <w:p>
            <w:pPr>
              <w:spacing w:before="0" w:after="0" w:line="240" w:lineRule="auto"/>
              <w:jc w:val="center"/>
              <w:textAlignment w:val="center"/>
            </w:pPr>
          </w:p>
        </w:tc>
      </w:tr>
      <w:tr>
        <w:tblPrEx>
          <w:tblW w:w="10000" w:type="dxa"/>
          <w:tblLayout w:type="fixed"/>
          <w:tblCellMar>
            <w:top w:w="0" w:type="dxa"/>
            <w:left w:w="108" w:type="dxa"/>
            <w:bottom w:w="0" w:type="dxa"/>
            <w:right w:w="108" w:type="dxa"/>
          </w:tblCellMar>
        </w:tblPrEx>
        <w:trPr>
          <w:cantSplit/>
          <w:tblHeader/>
        </w:trPr>
        <w:tc>
          <w:tcPr>
            <w:tcW w:w="2876" w:type="dxa"/>
            <w:vMerge/>
            <w:tcMar>
              <w:left w:w="108" w:type="dxa"/>
              <w:right w:w="108" w:type="dxa"/>
            </w:tcMar>
          </w:tcPr>
          <w:p/>
        </w:tc>
        <w:tc>
          <w:tcPr>
            <w:tcW w:w="714" w:type="dxa"/>
            <w:vMerge w:val="restart"/>
            <w:tcMar>
              <w:left w:w="108" w:type="dxa"/>
              <w:right w:w="108" w:type="dxa"/>
            </w:tcMar>
            <w:vAlign w:val="center"/>
          </w:tcPr>
          <w:p>
            <w:pPr>
              <w:spacing w:before="0" w:after="0" w:line="240" w:lineRule="auto"/>
              <w:jc w:val="left"/>
              <w:textAlignment w:val="center"/>
            </w:pPr>
            <w:r>
              <w:rPr>
                <w:rFonts w:ascii="宋体" w:eastAsia="宋体" w:hAnsi="宋体" w:cs="宋体"/>
                <w:b w:val="0"/>
                <w:sz w:val="21"/>
              </w:rPr>
              <w:t>产出指标</w:t>
              <w:br/>
            </w:r>
            <w:r>
              <w:rPr>
                <w:rFonts w:ascii="宋体" w:eastAsia="宋体" w:hAnsi="宋体" w:cs="宋体"/>
                <w:b w:val="0"/>
                <w:sz w:val="21"/>
              </w:rPr>
              <w:t>产出指标</w:t>
              <w:br/>
            </w:r>
            <w:r>
              <w:rPr>
                <w:rFonts w:ascii="宋体" w:eastAsia="宋体" w:hAnsi="宋体" w:cs="宋体"/>
                <w:b w:val="0"/>
                <w:sz w:val="21"/>
              </w:rPr>
              <w:t>产出指标</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数量指标</w:t>
            </w:r>
          </w:p>
        </w:tc>
        <w:tc>
          <w:tcPr>
            <w:tcW w:w="714"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处理信访件数量</w:t>
            </w:r>
          </w:p>
        </w:tc>
        <w:tc>
          <w:tcPr>
            <w:tcW w:w="714"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≥100件</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100</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12</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12</w:t>
            </w:r>
          </w:p>
        </w:tc>
        <w:tc>
          <w:tcPr>
            <w:tcW w:w="714" w:type="dxa"/>
            <w:gridSpan w:val="4"/>
            <w:tcMar>
              <w:left w:w="108" w:type="dxa"/>
              <w:right w:w="108" w:type="dxa"/>
            </w:tcMar>
            <w:vAlign w:val="center"/>
          </w:tcPr>
          <w:p>
            <w:pPr>
              <w:spacing w:before="0" w:after="0" w:line="240" w:lineRule="auto"/>
              <w:jc w:val="center"/>
              <w:textAlignment w:val="center"/>
            </w:pPr>
          </w:p>
        </w:tc>
      </w:tr>
      <w:tr>
        <w:tblPrEx>
          <w:tblW w:w="10000" w:type="dxa"/>
          <w:tblLayout w:type="fixed"/>
          <w:tblCellMar>
            <w:top w:w="0" w:type="dxa"/>
            <w:left w:w="108" w:type="dxa"/>
            <w:bottom w:w="0" w:type="dxa"/>
            <w:right w:w="108" w:type="dxa"/>
          </w:tblCellMar>
        </w:tblPrEx>
        <w:trPr>
          <w:cantSplit/>
          <w:tblHeader/>
        </w:trPr>
        <w:tc>
          <w:tcPr>
            <w:tcW w:w="2876" w:type="dxa"/>
            <w:vMerge/>
            <w:tcMar>
              <w:left w:w="108" w:type="dxa"/>
              <w:right w:w="108" w:type="dxa"/>
            </w:tcMar>
          </w:tcPr>
          <w:p/>
        </w:tc>
        <w:tc>
          <w:tcPr>
            <w:tcW w:w="1776" w:type="dxa"/>
            <w:vMerge/>
            <w:tcMar>
              <w:left w:w="108" w:type="dxa"/>
              <w:right w:w="108" w:type="dxa"/>
            </w:tcMar>
          </w:tcP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质量指标</w:t>
            </w:r>
          </w:p>
        </w:tc>
        <w:tc>
          <w:tcPr>
            <w:tcW w:w="714"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信访件受理率</w:t>
            </w:r>
          </w:p>
        </w:tc>
        <w:tc>
          <w:tcPr>
            <w:tcW w:w="714"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=98%</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98</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12</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12</w:t>
            </w:r>
          </w:p>
        </w:tc>
        <w:tc>
          <w:tcPr>
            <w:tcW w:w="714" w:type="dxa"/>
            <w:gridSpan w:val="4"/>
            <w:tcMar>
              <w:left w:w="108" w:type="dxa"/>
              <w:right w:w="108" w:type="dxa"/>
            </w:tcMar>
            <w:vAlign w:val="center"/>
          </w:tcPr>
          <w:p>
            <w:pPr>
              <w:spacing w:before="0" w:after="0" w:line="240" w:lineRule="auto"/>
              <w:jc w:val="center"/>
              <w:textAlignment w:val="center"/>
            </w:pPr>
          </w:p>
        </w:tc>
      </w:tr>
      <w:tr>
        <w:tblPrEx>
          <w:tblW w:w="10000" w:type="dxa"/>
          <w:tblLayout w:type="fixed"/>
          <w:tblCellMar>
            <w:top w:w="0" w:type="dxa"/>
            <w:left w:w="108" w:type="dxa"/>
            <w:bottom w:w="0" w:type="dxa"/>
            <w:right w:w="108" w:type="dxa"/>
          </w:tblCellMar>
        </w:tblPrEx>
        <w:trPr>
          <w:cantSplit/>
          <w:tblHeader/>
        </w:trPr>
        <w:tc>
          <w:tcPr>
            <w:tcW w:w="2876" w:type="dxa"/>
            <w:vMerge/>
            <w:tcMar>
              <w:left w:w="108" w:type="dxa"/>
              <w:right w:w="108" w:type="dxa"/>
            </w:tcMar>
          </w:tcPr>
          <w:p/>
        </w:tc>
        <w:tc>
          <w:tcPr>
            <w:tcW w:w="1776" w:type="dxa"/>
            <w:vMerge/>
            <w:tcMar>
              <w:left w:w="108" w:type="dxa"/>
              <w:right w:w="108" w:type="dxa"/>
            </w:tcMar>
          </w:tcP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时效指标</w:t>
            </w:r>
          </w:p>
        </w:tc>
        <w:tc>
          <w:tcPr>
            <w:tcW w:w="714"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信访件按时办结率</w:t>
            </w:r>
          </w:p>
        </w:tc>
        <w:tc>
          <w:tcPr>
            <w:tcW w:w="714"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≥98%</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99</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12</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12</w:t>
            </w:r>
          </w:p>
        </w:tc>
        <w:tc>
          <w:tcPr>
            <w:tcW w:w="714" w:type="dxa"/>
            <w:gridSpan w:val="4"/>
            <w:tcMar>
              <w:left w:w="108" w:type="dxa"/>
              <w:right w:w="108" w:type="dxa"/>
            </w:tcMar>
            <w:vAlign w:val="center"/>
          </w:tcPr>
          <w:p>
            <w:pPr>
              <w:spacing w:before="0" w:after="0" w:line="240" w:lineRule="auto"/>
              <w:jc w:val="center"/>
              <w:textAlignment w:val="center"/>
            </w:pPr>
          </w:p>
        </w:tc>
      </w:tr>
      <w:tr>
        <w:tblPrEx>
          <w:tblW w:w="10000" w:type="dxa"/>
          <w:tblLayout w:type="fixed"/>
          <w:tblCellMar>
            <w:top w:w="0" w:type="dxa"/>
            <w:left w:w="108" w:type="dxa"/>
            <w:bottom w:w="0" w:type="dxa"/>
            <w:right w:w="108" w:type="dxa"/>
          </w:tblCellMar>
        </w:tblPrEx>
        <w:trPr>
          <w:cantSplit/>
          <w:tblHeader/>
        </w:trPr>
        <w:tc>
          <w:tcPr>
            <w:tcW w:w="2876" w:type="dxa"/>
            <w:vMerge/>
            <w:tcMar>
              <w:left w:w="108" w:type="dxa"/>
              <w:right w:w="108" w:type="dxa"/>
            </w:tcMar>
          </w:tcP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成本指标</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经济成本指标</w:t>
            </w:r>
          </w:p>
        </w:tc>
        <w:tc>
          <w:tcPr>
            <w:tcW w:w="714"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办理信访件经费</w:t>
            </w:r>
          </w:p>
        </w:tc>
        <w:tc>
          <w:tcPr>
            <w:tcW w:w="714"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≤256.09万元</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235.25</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8</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8</w:t>
            </w:r>
          </w:p>
        </w:tc>
        <w:tc>
          <w:tcPr>
            <w:tcW w:w="714" w:type="dxa"/>
            <w:gridSpan w:val="4"/>
            <w:tcMar>
              <w:left w:w="108" w:type="dxa"/>
              <w:right w:w="108" w:type="dxa"/>
            </w:tcMar>
            <w:vAlign w:val="center"/>
          </w:tcPr>
          <w:p>
            <w:pPr>
              <w:spacing w:before="0" w:after="0" w:line="240" w:lineRule="auto"/>
              <w:jc w:val="center"/>
              <w:textAlignment w:val="center"/>
            </w:pPr>
          </w:p>
        </w:tc>
      </w:tr>
      <w:tr>
        <w:tblPrEx>
          <w:tblW w:w="10000" w:type="dxa"/>
          <w:tblLayout w:type="fixed"/>
          <w:tblCellMar>
            <w:top w:w="0" w:type="dxa"/>
            <w:left w:w="108" w:type="dxa"/>
            <w:bottom w:w="0" w:type="dxa"/>
            <w:right w:w="108" w:type="dxa"/>
          </w:tblCellMar>
        </w:tblPrEx>
        <w:trPr>
          <w:cantSplit/>
          <w:tblHeader/>
        </w:trPr>
        <w:tc>
          <w:tcPr>
            <w:tcW w:w="2876" w:type="dxa"/>
            <w:vMerge/>
            <w:tcMar>
              <w:left w:w="108" w:type="dxa"/>
              <w:right w:w="108" w:type="dxa"/>
            </w:tcMar>
          </w:tcP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效益指标</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社会效益指标</w:t>
            </w:r>
          </w:p>
        </w:tc>
        <w:tc>
          <w:tcPr>
            <w:tcW w:w="714"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网上信访占比率</w:t>
            </w:r>
          </w:p>
        </w:tc>
        <w:tc>
          <w:tcPr>
            <w:tcW w:w="714"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≥98%</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98</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30</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30</w:t>
            </w:r>
          </w:p>
        </w:tc>
        <w:tc>
          <w:tcPr>
            <w:tcW w:w="714" w:type="dxa"/>
            <w:gridSpan w:val="4"/>
            <w:tcMar>
              <w:left w:w="108" w:type="dxa"/>
              <w:right w:w="108" w:type="dxa"/>
            </w:tcMar>
            <w:vAlign w:val="center"/>
          </w:tcPr>
          <w:p>
            <w:pPr>
              <w:spacing w:before="0" w:after="0" w:line="240" w:lineRule="auto"/>
              <w:jc w:val="center"/>
              <w:textAlignment w:val="center"/>
            </w:pPr>
          </w:p>
        </w:tc>
      </w:tr>
      <w:tr>
        <w:tblPrEx>
          <w:tblW w:w="10000" w:type="dxa"/>
          <w:tblLayout w:type="fixed"/>
          <w:tblCellMar>
            <w:top w:w="0" w:type="dxa"/>
            <w:left w:w="108" w:type="dxa"/>
            <w:bottom w:w="0" w:type="dxa"/>
            <w:right w:w="108" w:type="dxa"/>
          </w:tblCellMar>
        </w:tblPrEx>
        <w:trPr>
          <w:cantSplit/>
          <w:tblHeader/>
        </w:trPr>
        <w:tc>
          <w:tcPr>
            <w:tcW w:w="2876" w:type="dxa"/>
            <w:vMerge/>
            <w:tcMar>
              <w:left w:w="108" w:type="dxa"/>
              <w:right w:w="108" w:type="dxa"/>
            </w:tcMar>
          </w:tcP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满意度指标</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服务对象满意度指标</w:t>
            </w:r>
          </w:p>
        </w:tc>
        <w:tc>
          <w:tcPr>
            <w:tcW w:w="714"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群众对办理信访事项满意率</w:t>
            </w:r>
          </w:p>
        </w:tc>
        <w:tc>
          <w:tcPr>
            <w:tcW w:w="714" w:type="dxa"/>
            <w:gridSpan w:val="2"/>
            <w:tcMar>
              <w:left w:w="108" w:type="dxa"/>
              <w:right w:w="108" w:type="dxa"/>
            </w:tcMar>
            <w:vAlign w:val="center"/>
          </w:tcPr>
          <w:p>
            <w:pPr>
              <w:spacing w:before="0" w:after="0" w:line="240" w:lineRule="auto"/>
              <w:jc w:val="left"/>
              <w:textAlignment w:val="center"/>
            </w:pPr>
            <w:r>
              <w:rPr>
                <w:rFonts w:ascii="宋体" w:eastAsia="宋体" w:hAnsi="宋体" w:cs="宋体"/>
                <w:b w:val="0"/>
                <w:sz w:val="21"/>
              </w:rPr>
              <w:t>≥98%</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98</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10</w:t>
            </w:r>
          </w:p>
        </w:tc>
        <w:tc>
          <w:tcPr>
            <w:tcW w:w="714" w:type="dxa"/>
            <w:tcMar>
              <w:left w:w="108" w:type="dxa"/>
              <w:right w:w="108" w:type="dxa"/>
            </w:tcMar>
            <w:vAlign w:val="center"/>
          </w:tcPr>
          <w:p>
            <w:pPr>
              <w:spacing w:before="0" w:after="0" w:line="240" w:lineRule="auto"/>
              <w:jc w:val="left"/>
              <w:textAlignment w:val="center"/>
            </w:pPr>
            <w:r>
              <w:rPr>
                <w:rFonts w:ascii="宋体" w:eastAsia="宋体" w:hAnsi="宋体" w:cs="宋体"/>
                <w:b w:val="0"/>
                <w:sz w:val="21"/>
              </w:rPr>
              <w:t>10</w:t>
            </w:r>
          </w:p>
        </w:tc>
        <w:tc>
          <w:tcPr>
            <w:tcW w:w="714" w:type="dxa"/>
            <w:gridSpan w:val="4"/>
            <w:tcMar>
              <w:left w:w="108" w:type="dxa"/>
              <w:right w:w="108" w:type="dxa"/>
            </w:tcMar>
            <w:vAlign w:val="center"/>
          </w:tcPr>
          <w:p>
            <w:pPr>
              <w:spacing w:before="0" w:after="0" w:line="240" w:lineRule="auto"/>
              <w:jc w:val="center"/>
              <w:textAlignment w:val="center"/>
            </w:pPr>
          </w:p>
        </w:tc>
      </w:tr>
      <w:tr>
        <w:tblPrEx>
          <w:tblW w:w="10000" w:type="dxa"/>
          <w:tblLayout w:type="fixed"/>
          <w:tblCellMar>
            <w:top w:w="0" w:type="dxa"/>
            <w:left w:w="108" w:type="dxa"/>
            <w:bottom w:w="0" w:type="dxa"/>
            <w:right w:w="108" w:type="dxa"/>
          </w:tblCellMar>
        </w:tblPrEx>
        <w:trPr>
          <w:cantSplit/>
          <w:tblHeader/>
        </w:trPr>
        <w:tc>
          <w:tcPr>
            <w:tcW w:w="714" w:type="dxa"/>
            <w:gridSpan w:val="8"/>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总分值、评价总分 (S)</w:t>
            </w:r>
          </w:p>
        </w:tc>
        <w:tc>
          <w:tcPr>
            <w:tcW w:w="714" w:type="dxa"/>
            <w:gridSpan w:val="6"/>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100</w:t>
            </w:r>
          </w:p>
        </w:tc>
      </w:tr>
      <w:tr>
        <w:tblPrEx>
          <w:tblW w:w="10000" w:type="dxa"/>
          <w:tblLayout w:type="fixed"/>
          <w:tblCellMar>
            <w:top w:w="0" w:type="dxa"/>
            <w:left w:w="108" w:type="dxa"/>
            <w:bottom w:w="0" w:type="dxa"/>
            <w:right w:w="108" w:type="dxa"/>
          </w:tblCellMar>
        </w:tblPrEx>
        <w:trPr>
          <w:cantSplit/>
          <w:tblHeader/>
        </w:trPr>
        <w:tc>
          <w:tcPr>
            <w:tcW w:w="714" w:type="dxa"/>
            <w:gridSpan w:val="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评价等级</w:t>
            </w:r>
          </w:p>
        </w:tc>
        <w:tc>
          <w:tcPr>
            <w:tcW w:w="714" w:type="dxa"/>
            <w:gridSpan w:val="12"/>
            <w:tcMar>
              <w:left w:w="108" w:type="dxa"/>
              <w:right w:w="108" w:type="dxa"/>
            </w:tcMar>
            <w:vAlign w:val="center"/>
          </w:tcPr>
          <w:p>
            <w:pPr>
              <w:spacing w:before="0" w:after="0" w:line="240" w:lineRule="auto"/>
              <w:jc w:val="center"/>
              <w:textAlignment w:val="center"/>
            </w:pPr>
            <w:r>
              <w:rPr>
                <w:rFonts w:ascii="宋体" w:eastAsia="宋体" w:hAnsi="宋体" w:cs="宋体"/>
                <w:b w:val="0"/>
                <w:sz w:val="21"/>
              </w:rPr>
              <w:t>优（S≧90）</w:t>
            </w:r>
          </w:p>
        </w:tc>
      </w:tr>
      <w:tr>
        <w:tblPrEx>
          <w:tblW w:w="10000" w:type="dxa"/>
          <w:tblLayout w:type="fixed"/>
          <w:tblCellMar>
            <w:top w:w="0" w:type="dxa"/>
            <w:left w:w="108" w:type="dxa"/>
            <w:bottom w:w="0" w:type="dxa"/>
            <w:right w:w="108" w:type="dxa"/>
          </w:tblCellMar>
        </w:tblPrEx>
        <w:trPr>
          <w:cantSplit/>
          <w:tblHeader/>
        </w:trPr>
        <w:tc>
          <w:tcPr>
            <w:tcW w:w="714" w:type="dxa"/>
            <w:tcMar>
              <w:left w:w="108" w:type="dxa"/>
              <w:right w:w="108" w:type="dxa"/>
            </w:tcMar>
            <w:vAlign w:val="center"/>
          </w:tcPr>
          <w:p>
            <w:pPr>
              <w:spacing w:before="0" w:after="0" w:line="240" w:lineRule="auto"/>
              <w:jc w:val="left"/>
              <w:textAlignment w:val="center"/>
            </w:pPr>
          </w:p>
        </w:tc>
        <w:tc>
          <w:tcPr>
            <w:tcW w:w="714" w:type="dxa"/>
            <w:tcMar>
              <w:left w:w="108" w:type="dxa"/>
              <w:right w:w="108" w:type="dxa"/>
            </w:tcMar>
            <w:vAlign w:val="center"/>
          </w:tcPr>
          <w:p>
            <w:pPr>
              <w:spacing w:before="0" w:after="0" w:line="240" w:lineRule="auto"/>
              <w:jc w:val="left"/>
              <w:textAlignment w:val="center"/>
            </w:pPr>
          </w:p>
        </w:tc>
        <w:tc>
          <w:tcPr>
            <w:tcW w:w="714" w:type="dxa"/>
            <w:tcMar>
              <w:left w:w="108" w:type="dxa"/>
              <w:right w:w="108" w:type="dxa"/>
            </w:tcMar>
            <w:vAlign w:val="center"/>
          </w:tcPr>
          <w:p>
            <w:pPr>
              <w:spacing w:before="0" w:after="0" w:line="240" w:lineRule="auto"/>
              <w:jc w:val="left"/>
              <w:textAlignment w:val="center"/>
            </w:pPr>
          </w:p>
        </w:tc>
        <w:tc>
          <w:tcPr>
            <w:tcW w:w="714" w:type="dxa"/>
            <w:tcMar>
              <w:left w:w="108" w:type="dxa"/>
              <w:right w:w="108" w:type="dxa"/>
            </w:tcMar>
            <w:vAlign w:val="center"/>
          </w:tcPr>
          <w:p>
            <w:pPr>
              <w:spacing w:before="0" w:after="0" w:line="240" w:lineRule="auto"/>
              <w:jc w:val="left"/>
              <w:textAlignment w:val="center"/>
            </w:pPr>
          </w:p>
        </w:tc>
        <w:tc>
          <w:tcPr>
            <w:tcW w:w="714" w:type="dxa"/>
            <w:tcMar>
              <w:left w:w="108" w:type="dxa"/>
              <w:right w:w="108" w:type="dxa"/>
            </w:tcMar>
            <w:vAlign w:val="center"/>
          </w:tcPr>
          <w:p>
            <w:pPr>
              <w:spacing w:before="0" w:after="0" w:line="240" w:lineRule="auto"/>
              <w:jc w:val="left"/>
              <w:textAlignment w:val="center"/>
            </w:pPr>
          </w:p>
        </w:tc>
        <w:tc>
          <w:tcPr>
            <w:tcW w:w="714" w:type="dxa"/>
            <w:tcMar>
              <w:left w:w="108" w:type="dxa"/>
              <w:right w:w="108" w:type="dxa"/>
            </w:tcMar>
            <w:vAlign w:val="center"/>
          </w:tcPr>
          <w:p>
            <w:pPr>
              <w:spacing w:before="0" w:after="0" w:line="240" w:lineRule="auto"/>
              <w:jc w:val="left"/>
              <w:textAlignment w:val="center"/>
            </w:pPr>
          </w:p>
        </w:tc>
        <w:tc>
          <w:tcPr>
            <w:tcW w:w="714" w:type="dxa"/>
            <w:tcMar>
              <w:left w:w="108" w:type="dxa"/>
              <w:right w:w="108" w:type="dxa"/>
            </w:tcMar>
            <w:vAlign w:val="center"/>
          </w:tcPr>
          <w:p>
            <w:pPr>
              <w:spacing w:before="0" w:after="0" w:line="240" w:lineRule="auto"/>
              <w:jc w:val="left"/>
              <w:textAlignment w:val="center"/>
            </w:pPr>
          </w:p>
        </w:tc>
        <w:tc>
          <w:tcPr>
            <w:tcW w:w="714" w:type="dxa"/>
            <w:tcMar>
              <w:left w:w="108" w:type="dxa"/>
              <w:right w:w="108" w:type="dxa"/>
            </w:tcMar>
            <w:vAlign w:val="center"/>
          </w:tcPr>
          <w:p>
            <w:pPr>
              <w:spacing w:before="0" w:after="0" w:line="240" w:lineRule="auto"/>
              <w:jc w:val="left"/>
              <w:textAlignment w:val="center"/>
            </w:pPr>
          </w:p>
        </w:tc>
        <w:tc>
          <w:tcPr>
            <w:tcW w:w="714" w:type="dxa"/>
            <w:tcMar>
              <w:left w:w="108" w:type="dxa"/>
              <w:right w:w="108" w:type="dxa"/>
            </w:tcMar>
            <w:vAlign w:val="center"/>
          </w:tcPr>
          <w:p>
            <w:pPr>
              <w:spacing w:before="0" w:after="0" w:line="240" w:lineRule="auto"/>
              <w:jc w:val="left"/>
              <w:textAlignment w:val="center"/>
            </w:pPr>
          </w:p>
        </w:tc>
        <w:tc>
          <w:tcPr>
            <w:tcW w:w="714" w:type="dxa"/>
            <w:tcMar>
              <w:left w:w="108" w:type="dxa"/>
              <w:right w:w="108" w:type="dxa"/>
            </w:tcMar>
            <w:vAlign w:val="center"/>
          </w:tcPr>
          <w:p>
            <w:pPr>
              <w:spacing w:before="0" w:after="0" w:line="240" w:lineRule="auto"/>
              <w:jc w:val="left"/>
              <w:textAlignment w:val="center"/>
            </w:pPr>
          </w:p>
        </w:tc>
        <w:tc>
          <w:tcPr>
            <w:tcW w:w="714" w:type="dxa"/>
            <w:tcMar>
              <w:left w:w="108" w:type="dxa"/>
              <w:right w:w="108" w:type="dxa"/>
            </w:tcMar>
            <w:vAlign w:val="center"/>
          </w:tcPr>
          <w:p>
            <w:pPr>
              <w:spacing w:before="0" w:after="0" w:line="240" w:lineRule="auto"/>
              <w:jc w:val="left"/>
              <w:textAlignment w:val="center"/>
            </w:pPr>
          </w:p>
        </w:tc>
        <w:tc>
          <w:tcPr>
            <w:tcW w:w="714" w:type="dxa"/>
            <w:tcMar>
              <w:left w:w="108" w:type="dxa"/>
              <w:right w:w="108" w:type="dxa"/>
            </w:tcMar>
            <w:vAlign w:val="center"/>
          </w:tcPr>
          <w:p>
            <w:pPr>
              <w:spacing w:before="0" w:after="0" w:line="240" w:lineRule="auto"/>
              <w:jc w:val="left"/>
              <w:textAlignment w:val="center"/>
            </w:pPr>
          </w:p>
        </w:tc>
        <w:tc>
          <w:tcPr>
            <w:tcW w:w="714" w:type="dxa"/>
            <w:tcMar>
              <w:left w:w="108" w:type="dxa"/>
              <w:right w:w="108" w:type="dxa"/>
            </w:tcMar>
            <w:vAlign w:val="center"/>
          </w:tcPr>
          <w:p>
            <w:pPr>
              <w:spacing w:before="0" w:after="0" w:line="240" w:lineRule="auto"/>
              <w:jc w:val="left"/>
              <w:textAlignment w:val="center"/>
            </w:pPr>
          </w:p>
        </w:tc>
        <w:tc>
          <w:tcPr>
            <w:tcW w:w="714" w:type="dxa"/>
            <w:tcMar>
              <w:left w:w="108" w:type="dxa"/>
              <w:right w:w="108" w:type="dxa"/>
            </w:tcMar>
            <w:vAlign w:val="center"/>
          </w:tcPr>
          <w:p>
            <w:pPr>
              <w:spacing w:before="0" w:after="0" w:line="240" w:lineRule="auto"/>
              <w:jc w:val="left"/>
              <w:textAlignment w:val="center"/>
            </w:pPr>
          </w:p>
        </w:tc>
      </w:tr>
    </w:tbl>
    <w:p/>
    <w:p>
      <w:pPr>
        <w:pStyle w:val="MsoNormal"/>
        <w:widowControl/>
        <w:spacing w:before="240" w:after="240"/>
        <w:jc w:val="left"/>
        <w:rPr>
          <w:rFonts w:ascii="Times New Roman" w:eastAsia="Times New Roman" w:hAnsi="Times New Roman" w:cs="Times New Roman"/>
          <w:kern w:val="0"/>
          <w:sz w:val="24"/>
        </w:rPr>
      </w:pPr>
    </w:p>
    <w:p>
      <w:pPr>
        <w:keepNext w:val="0"/>
        <w:keepLines w:val="0"/>
        <w:pageBreakBefore w:val="0"/>
        <w:widowControl w:val="0"/>
        <w:tabs>
          <w:tab w:val="left" w:pos="8415"/>
        </w:tabs>
        <w:kinsoku/>
        <w:wordWrap/>
        <w:overflowPunct/>
        <w:topLinePunct w:val="0"/>
        <w:autoSpaceDE/>
        <w:autoSpaceDN/>
        <w:bidi w:val="0"/>
        <w:adjustRightInd/>
        <w:snapToGrid/>
        <w:textAlignment w:val="auto"/>
      </w:pPr>
      <w:bookmarkEnd w:id="1"/>
    </w:p>
    <w:sectPr>
      <w:footerReference w:type="default" r:id="rId24"/>
      <w:pgSz w:w="11906" w:h="16838"/>
      <w:pgMar w:top="1984" w:right="1083" w:bottom="1984" w:left="1083" w:header="0" w:footer="720" w:gutter="0"/>
      <w:cols w:num="1" w:space="0"/>
      <w:titlePg w:val="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方正小标宋简体">
    <w:altName w:val="方正舒体"/>
    <w:panose1 w:val="02000000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KSOFBFDA8B98">
    <w:panose1 w:val="0201060103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宋体" w:eastAsia="宋体" w:hAnsi="宋体" w:cs="宋体"/>
        <w:sz w:val="18"/>
      </w:rPr>
      <w:fldChar w:fldCharType="begin"/>
    </w:r>
    <w:r>
      <w:rPr>
        <w:rFonts w:ascii="宋体" w:eastAsia="宋体" w:hAnsi="宋体" w:cs="宋体"/>
        <w:sz w:val="18"/>
      </w:rPr>
      <w:instrText xml:space="preserve"> PAGE </w:instrText>
    </w:r>
    <w:r>
      <w:rPr>
        <w:rFonts w:ascii="宋体" w:eastAsia="宋体" w:hAnsi="宋体" w:cs="宋体"/>
        <w:sz w:val="18"/>
      </w:rPr>
      <w:fldChar w:fldCharType="separate"/>
    </w:r>
    <w:r>
      <w:rPr>
        <w:rFonts w:ascii="宋体" w:eastAsia="宋体" w:hAnsi="宋体" w:cs="宋体"/>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宋体" w:eastAsia="宋体" w:hAnsi="宋体" w:cs="宋体"/>
        <w:sz w:val="18"/>
      </w:rPr>
      <w:fldChar w:fldCharType="begin"/>
    </w:r>
    <w:r>
      <w:rPr>
        <w:rFonts w:ascii="宋体" w:eastAsia="宋体" w:hAnsi="宋体" w:cs="宋体"/>
        <w:sz w:val="18"/>
      </w:rPr>
      <w:instrText xml:space="preserve"> PAGE </w:instrText>
    </w:r>
    <w:r>
      <w:rPr>
        <w:rFonts w:ascii="宋体" w:eastAsia="宋体" w:hAnsi="宋体" w:cs="宋体"/>
        <w:sz w:val="18"/>
      </w:rPr>
      <w:fldChar w:fldCharType="separate"/>
    </w:r>
    <w:r>
      <w:rPr>
        <w:rFonts w:ascii="宋体" w:eastAsia="宋体" w:hAnsi="宋体" w:cs="宋体"/>
        <w:sz w:val="18"/>
      </w:rPr>
      <w:t>2</w:t>
    </w:r>
    <w:r>
      <w:rPr>
        <w:rFonts w:ascii="宋体" w:eastAsia="宋体" w:hAnsi="宋体" w:cs="宋体"/>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宋体" w:eastAsia="宋体" w:hAnsi="宋体" w:cs="宋体"/>
        <w:sz w:val="18"/>
      </w:rPr>
      <w:fldChar w:fldCharType="begin"/>
    </w:r>
    <w:r>
      <w:rPr>
        <w:rFonts w:ascii="宋体" w:eastAsia="宋体" w:hAnsi="宋体" w:cs="宋体"/>
        <w:sz w:val="18"/>
      </w:rPr>
      <w:instrText xml:space="preserve"> PAGE </w:instrText>
    </w:r>
    <w:r>
      <w:rPr>
        <w:rFonts w:ascii="宋体" w:eastAsia="宋体" w:hAnsi="宋体" w:cs="宋体"/>
        <w:sz w:val="18"/>
      </w:rPr>
      <w:fldChar w:fldCharType="separate"/>
    </w:r>
    <w:r>
      <w:rPr>
        <w:rFonts w:ascii="宋体" w:eastAsia="宋体" w:hAnsi="宋体" w:cs="宋体"/>
        <w:sz w:val="18"/>
      </w:rPr>
      <w:t>1</w:t>
    </w:r>
    <w:r>
      <w:rPr>
        <w:rFonts w:ascii="宋体" w:eastAsia="宋体" w:hAnsi="宋体" w:cs="宋体"/>
        <w:sz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宋体" w:eastAsia="宋体" w:hAnsi="宋体" w:cs="宋体"/>
        <w:sz w:val="18"/>
      </w:rPr>
      <w:fldChar w:fldCharType="begin"/>
    </w:r>
    <w:r>
      <w:rPr>
        <w:rFonts w:ascii="宋体" w:eastAsia="宋体" w:hAnsi="宋体" w:cs="宋体"/>
        <w:sz w:val="18"/>
      </w:rPr>
      <w:instrText xml:space="preserve"> PAGE </w:instrText>
    </w:r>
    <w:r>
      <w:rPr>
        <w:rFonts w:ascii="宋体" w:eastAsia="宋体" w:hAnsi="宋体" w:cs="宋体"/>
        <w:sz w:val="18"/>
      </w:rPr>
      <w:fldChar w:fldCharType="separate"/>
    </w:r>
    <w:r>
      <w:rPr>
        <w:rFonts w:ascii="宋体" w:eastAsia="宋体" w:hAnsi="宋体" w:cs="宋体"/>
        <w:sz w:val="18"/>
      </w:rPr>
      <w:t>6</w:t>
    </w:r>
    <w:r>
      <w:rPr>
        <w:rFonts w:ascii="宋体" w:eastAsia="宋体" w:hAnsi="宋体" w:cs="宋体"/>
        <w:sz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宋体" w:eastAsia="宋体" w:hAnsi="宋体" w:cs="宋体"/>
        <w:sz w:val="18"/>
      </w:rPr>
      <w:fldChar w:fldCharType="begin"/>
    </w:r>
    <w:r>
      <w:rPr>
        <w:rFonts w:ascii="宋体" w:eastAsia="宋体" w:hAnsi="宋体" w:cs="宋体"/>
        <w:sz w:val="18"/>
      </w:rPr>
      <w:instrText xml:space="preserve"> PAGE </w:instrText>
    </w:r>
    <w:r>
      <w:rPr>
        <w:rFonts w:ascii="宋体" w:eastAsia="宋体" w:hAnsi="宋体" w:cs="宋体"/>
        <w:sz w:val="18"/>
      </w:rPr>
      <w:fldChar w:fldCharType="separate"/>
    </w:r>
    <w:r>
      <w:rPr>
        <w:rFonts w:ascii="宋体" w:eastAsia="宋体" w:hAnsi="宋体" w:cs="宋体"/>
        <w:sz w:val="18"/>
      </w:rPr>
      <w:t>7</w:t>
    </w:r>
    <w:r>
      <w:rPr>
        <w:rFonts w:ascii="宋体" w:eastAsia="宋体" w:hAnsi="宋体" w:cs="宋体"/>
        <w:sz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宋体" w:eastAsia="宋体" w:hAnsi="宋体" w:cs="宋体"/>
        <w:sz w:val="18"/>
      </w:rPr>
      <w:fldChar w:fldCharType="begin"/>
    </w:r>
    <w:r>
      <w:rPr>
        <w:rFonts w:ascii="宋体" w:eastAsia="宋体" w:hAnsi="宋体" w:cs="宋体"/>
        <w:sz w:val="18"/>
      </w:rPr>
      <w:instrText xml:space="preserve"> PAGE </w:instrText>
    </w:r>
    <w:r>
      <w:rPr>
        <w:rFonts w:ascii="宋体" w:eastAsia="宋体" w:hAnsi="宋体" w:cs="宋体"/>
        <w:sz w:val="18"/>
      </w:rPr>
      <w:fldChar w:fldCharType="separate"/>
    </w:r>
    <w:r>
      <w:rPr>
        <w:rFonts w:ascii="宋体" w:eastAsia="宋体" w:hAnsi="宋体" w:cs="宋体"/>
        <w:sz w:val="18"/>
      </w:rPr>
      <w:t>9</w:t>
    </w:r>
    <w:r>
      <w:rPr>
        <w:rFonts w:ascii="宋体" w:eastAsia="宋体" w:hAnsi="宋体" w:cs="宋体"/>
        <w:sz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宋体" w:eastAsia="宋体" w:hAnsi="宋体" w:cs="宋体"/>
        <w:sz w:val="18"/>
      </w:rPr>
      <w:fldChar w:fldCharType="begin"/>
    </w:r>
    <w:r>
      <w:rPr>
        <w:rFonts w:ascii="宋体" w:eastAsia="宋体" w:hAnsi="宋体" w:cs="宋体"/>
        <w:sz w:val="18"/>
      </w:rPr>
      <w:instrText xml:space="preserve"> PAGE </w:instrText>
    </w:r>
    <w:r>
      <w:rPr>
        <w:rFonts w:ascii="宋体" w:eastAsia="宋体" w:hAnsi="宋体" w:cs="宋体"/>
        <w:sz w:val="18"/>
      </w:rPr>
      <w:fldChar w:fldCharType="separate"/>
    </w:r>
    <w:r>
      <w:rPr>
        <w:rFonts w:ascii="宋体" w:eastAsia="宋体" w:hAnsi="宋体" w:cs="宋体"/>
        <w:sz w:val="18"/>
      </w:rPr>
      <w:t>10</w:t>
    </w:r>
    <w:r>
      <w:rPr>
        <w:rFonts w:ascii="宋体" w:eastAsia="宋体" w:hAnsi="宋体" w:cs="宋体"/>
        <w:sz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宋体" w:eastAsia="宋体" w:hAnsi="宋体" w:cs="宋体"/>
        <w:sz w:val="18"/>
      </w:rPr>
      <w:fldChar w:fldCharType="begin"/>
    </w:r>
    <w:r>
      <w:rPr>
        <w:rFonts w:ascii="宋体" w:eastAsia="宋体" w:hAnsi="宋体" w:cs="宋体"/>
        <w:sz w:val="18"/>
      </w:rPr>
      <w:instrText xml:space="preserve"> PAGE </w:instrText>
    </w:r>
    <w:r>
      <w:rPr>
        <w:rFonts w:ascii="宋体" w:eastAsia="宋体" w:hAnsi="宋体" w:cs="宋体"/>
        <w:sz w:val="18"/>
      </w:rPr>
      <w:fldChar w:fldCharType="separate"/>
    </w:r>
    <w:r>
      <w:rPr>
        <w:rFonts w:ascii="宋体" w:eastAsia="宋体" w:hAnsi="宋体" w:cs="宋体"/>
        <w:sz w:val="18"/>
      </w:rPr>
      <w:t>11</w:t>
    </w:r>
    <w:r>
      <w:rPr>
        <w:rFonts w:ascii="宋体" w:eastAsia="宋体" w:hAnsi="宋体" w:cs="宋体"/>
        <w:sz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宋体" w:eastAsia="宋体" w:hAnsi="宋体" w:cs="宋体"/>
        <w:sz w:val="18"/>
      </w:rPr>
      <w:fldChar w:fldCharType="begin"/>
    </w:r>
    <w:r>
      <w:rPr>
        <w:rFonts w:ascii="宋体" w:eastAsia="宋体" w:hAnsi="宋体" w:cs="宋体"/>
        <w:sz w:val="18"/>
      </w:rPr>
      <w:instrText xml:space="preserve"> PAGE </w:instrText>
    </w:r>
    <w:r>
      <w:rPr>
        <w:rFonts w:ascii="宋体" w:eastAsia="宋体" w:hAnsi="宋体" w:cs="宋体"/>
        <w:sz w:val="18"/>
      </w:rPr>
      <w:fldChar w:fldCharType="separate"/>
    </w:r>
    <w:r>
      <w:rPr>
        <w:rFonts w:ascii="宋体" w:eastAsia="宋体" w:hAnsi="宋体" w:cs="宋体"/>
        <w:sz w:val="18"/>
      </w:rPr>
      <w:t>14</w:t>
    </w:r>
    <w:r>
      <w:rPr>
        <w:rFonts w:ascii="宋体" w:eastAsia="宋体" w:hAnsi="宋体" w:cs="宋体"/>
        <w:sz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宋体" w:eastAsia="宋体" w:hAnsi="宋体" w:cs="宋体"/>
        <w:sz w:val="18"/>
      </w:rPr>
      <w:fldChar w:fldCharType="begin"/>
    </w:r>
    <w:r>
      <w:rPr>
        <w:rFonts w:ascii="宋体" w:eastAsia="宋体" w:hAnsi="宋体" w:cs="宋体"/>
        <w:sz w:val="18"/>
      </w:rPr>
      <w:instrText xml:space="preserve"> PAGE </w:instrText>
    </w:r>
    <w:r>
      <w:rPr>
        <w:rFonts w:ascii="宋体" w:eastAsia="宋体" w:hAnsi="宋体" w:cs="宋体"/>
        <w:sz w:val="18"/>
      </w:rPr>
      <w:fldChar w:fldCharType="separate"/>
    </w:r>
    <w:r>
      <w:rPr>
        <w:rFonts w:ascii="宋体" w:eastAsia="宋体" w:hAnsi="宋体" w:cs="宋体"/>
        <w:sz w:val="18"/>
      </w:rPr>
      <w:t>15</w:t>
    </w:r>
    <w:r>
      <w:rPr>
        <w:rFonts w:ascii="宋体" w:eastAsia="宋体" w:hAnsi="宋体" w:cs="宋体"/>
        <w:sz w:val="1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宋体" w:eastAsia="宋体" w:hAnsi="宋体" w:cs="宋体"/>
        <w:sz w:val="18"/>
      </w:rPr>
      <w:fldChar w:fldCharType="begin"/>
    </w:r>
    <w:r>
      <w:rPr>
        <w:rFonts w:ascii="宋体" w:eastAsia="宋体" w:hAnsi="宋体" w:cs="宋体"/>
        <w:sz w:val="18"/>
      </w:rPr>
      <w:instrText xml:space="preserve"> PAGE </w:instrText>
    </w:r>
    <w:r>
      <w:rPr>
        <w:rFonts w:ascii="宋体" w:eastAsia="宋体" w:hAnsi="宋体" w:cs="宋体"/>
        <w:sz w:val="18"/>
      </w:rPr>
      <w:fldChar w:fldCharType="separate"/>
    </w:r>
    <w:r>
      <w:rPr>
        <w:rFonts w:ascii="宋体" w:eastAsia="宋体" w:hAnsi="宋体" w:cs="宋体"/>
        <w:sz w:val="18"/>
      </w:rPr>
      <w:t>18</w:t>
    </w:r>
    <w:r>
      <w:rPr>
        <w:rFonts w:ascii="宋体" w:eastAsia="宋体" w:hAnsi="宋体" w:cs="宋体"/>
        <w:sz w:val="18"/>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宋体" w:eastAsia="宋体" w:hAnsi="宋体" w:cs="宋体"/>
        <w:sz w:val="18"/>
      </w:rPr>
      <w:fldChar w:fldCharType="begin"/>
    </w:r>
    <w:r>
      <w:rPr>
        <w:rFonts w:ascii="宋体" w:eastAsia="宋体" w:hAnsi="宋体" w:cs="宋体"/>
        <w:sz w:val="18"/>
      </w:rPr>
      <w:instrText xml:space="preserve"> PAGE </w:instrText>
    </w:r>
    <w:r>
      <w:rPr>
        <w:rFonts w:ascii="宋体" w:eastAsia="宋体" w:hAnsi="宋体" w:cs="宋体"/>
        <w:sz w:val="18"/>
      </w:rPr>
      <w:fldChar w:fldCharType="separate"/>
    </w:r>
    <w:r>
      <w:rPr>
        <w:rFonts w:ascii="宋体" w:eastAsia="宋体" w:hAnsi="宋体" w:cs="宋体"/>
        <w:sz w:val="18"/>
      </w:rPr>
      <w:t>19</w:t>
    </w:r>
    <w:r>
      <w:rPr>
        <w:rFonts w:ascii="宋体" w:eastAsia="宋体" w:hAnsi="宋体" w:cs="宋体"/>
        <w:sz w:val="18"/>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宋体" w:eastAsia="宋体" w:hAnsi="宋体" w:cs="宋体"/>
        <w:sz w:val="18"/>
      </w:rPr>
      <w:fldChar w:fldCharType="begin"/>
    </w:r>
    <w:r>
      <w:rPr>
        <w:rFonts w:ascii="宋体" w:eastAsia="宋体" w:hAnsi="宋体" w:cs="宋体"/>
        <w:sz w:val="18"/>
      </w:rPr>
      <w:instrText xml:space="preserve"> PAGE </w:instrText>
    </w:r>
    <w:r>
      <w:rPr>
        <w:rFonts w:ascii="宋体" w:eastAsia="宋体" w:hAnsi="宋体" w:cs="宋体"/>
        <w:sz w:val="18"/>
      </w:rPr>
      <w:fldChar w:fldCharType="separate"/>
    </w:r>
    <w:r>
      <w:rPr>
        <w:rFonts w:ascii="宋体" w:eastAsia="宋体" w:hAnsi="宋体" w:cs="宋体"/>
        <w:sz w:val="18"/>
      </w:rPr>
      <w:t>20</w:t>
    </w:r>
    <w:r>
      <w:rPr>
        <w:rFonts w:ascii="宋体" w:eastAsia="宋体" w:hAnsi="宋体" w:cs="宋体"/>
        <w:sz w:val="18"/>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宋体" w:eastAsia="宋体" w:hAnsi="宋体" w:cs="宋体"/>
        <w:sz w:val="18"/>
      </w:rPr>
      <w:fldChar w:fldCharType="begin"/>
    </w:r>
    <w:r>
      <w:rPr>
        <w:rFonts w:ascii="宋体" w:eastAsia="宋体" w:hAnsi="宋体" w:cs="宋体"/>
        <w:sz w:val="18"/>
      </w:rPr>
      <w:instrText xml:space="preserve"> PAGE </w:instrText>
    </w:r>
    <w:r>
      <w:rPr>
        <w:rFonts w:ascii="宋体" w:eastAsia="宋体" w:hAnsi="宋体" w:cs="宋体"/>
        <w:sz w:val="18"/>
      </w:rPr>
      <w:fldChar w:fldCharType="separate"/>
    </w:r>
    <w:r>
      <w:rPr>
        <w:rFonts w:ascii="宋体" w:eastAsia="宋体" w:hAnsi="宋体" w:cs="宋体"/>
        <w:sz w:val="18"/>
      </w:rPr>
      <w:t>21</w:t>
    </w:r>
    <w:r>
      <w:rPr>
        <w:rFonts w:ascii="宋体" w:eastAsia="宋体" w:hAnsi="宋体" w:cs="宋体"/>
        <w:sz w:val="18"/>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宋体" w:eastAsia="宋体" w:hAnsi="宋体" w:cs="宋体"/>
        <w:sz w:val="18"/>
      </w:rPr>
      <w:fldChar w:fldCharType="begin"/>
    </w:r>
    <w:r>
      <w:rPr>
        <w:rFonts w:ascii="宋体" w:eastAsia="宋体" w:hAnsi="宋体" w:cs="宋体"/>
        <w:sz w:val="18"/>
      </w:rPr>
      <w:instrText xml:space="preserve"> PAGE </w:instrText>
    </w:r>
    <w:r>
      <w:rPr>
        <w:rFonts w:ascii="宋体" w:eastAsia="宋体" w:hAnsi="宋体" w:cs="宋体"/>
        <w:sz w:val="18"/>
      </w:rPr>
      <w:fldChar w:fldCharType="separate"/>
    </w:r>
    <w:r>
      <w:rPr>
        <w:rFonts w:ascii="宋体" w:eastAsia="宋体" w:hAnsi="宋体" w:cs="宋体"/>
        <w:sz w:val="18"/>
      </w:rPr>
      <w:t>22</w:t>
    </w:r>
    <w:r>
      <w:rPr>
        <w:rFonts w:ascii="宋体" w:eastAsia="宋体" w:hAnsi="宋体" w:cs="宋体"/>
        <w:sz w:val="18"/>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宋体" w:eastAsia="宋体" w:hAnsi="宋体" w:cs="宋体"/>
        <w:sz w:val="18"/>
      </w:rPr>
      <w:fldChar w:fldCharType="begin"/>
    </w:r>
    <w:r>
      <w:rPr>
        <w:rFonts w:ascii="宋体" w:eastAsia="宋体" w:hAnsi="宋体" w:cs="宋体"/>
        <w:sz w:val="18"/>
      </w:rPr>
      <w:instrText xml:space="preserve"> PAGE </w:instrText>
    </w:r>
    <w:r>
      <w:rPr>
        <w:rFonts w:ascii="宋体" w:eastAsia="宋体" w:hAnsi="宋体" w:cs="宋体"/>
        <w:sz w:val="18"/>
      </w:rPr>
      <w:fldChar w:fldCharType="separate"/>
    </w:r>
    <w:r>
      <w:rPr>
        <w:rFonts w:ascii="宋体" w:eastAsia="宋体" w:hAnsi="宋体" w:cs="宋体"/>
        <w:sz w:val="18"/>
      </w:rPr>
      <w:t>27</w:t>
    </w:r>
    <w:r>
      <w:rPr>
        <w:rFonts w:ascii="宋体" w:eastAsia="宋体" w:hAnsi="宋体" w:cs="宋体"/>
        <w:sz w:val="18"/>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宋体" w:eastAsia="宋体" w:hAnsi="宋体" w:cs="宋体"/>
        <w:sz w:val="18"/>
      </w:rPr>
      <w:fldChar w:fldCharType="begin"/>
    </w:r>
    <w:r>
      <w:rPr>
        <w:rFonts w:ascii="宋体" w:eastAsia="宋体" w:hAnsi="宋体" w:cs="宋体"/>
        <w:sz w:val="18"/>
      </w:rPr>
      <w:instrText xml:space="preserve"> PAGE </w:instrText>
    </w:r>
    <w:r>
      <w:rPr>
        <w:rFonts w:ascii="宋体" w:eastAsia="宋体" w:hAnsi="宋体" w:cs="宋体"/>
        <w:sz w:val="18"/>
      </w:rPr>
      <w:fldChar w:fldCharType="separate"/>
    </w:r>
    <w:r>
      <w:rPr>
        <w:rFonts w:ascii="宋体" w:eastAsia="宋体" w:hAnsi="宋体" w:cs="宋体"/>
        <w:sz w:val="18"/>
      </w:rPr>
      <w:t>28</w:t>
    </w:r>
    <w:r>
      <w:rPr>
        <w:rFonts w:ascii="宋体" w:eastAsia="宋体" w:hAnsi="宋体" w:cs="宋体"/>
        <w:sz w:val="18"/>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宋体" w:eastAsia="宋体" w:hAnsi="宋体" w:cs="宋体"/>
        <w:sz w:val="18"/>
      </w:rPr>
      <w:fldChar w:fldCharType="begin"/>
    </w:r>
    <w:r>
      <w:rPr>
        <w:rFonts w:ascii="宋体" w:eastAsia="宋体" w:hAnsi="宋体" w:cs="宋体"/>
        <w:sz w:val="18"/>
      </w:rPr>
      <w:instrText xml:space="preserve"> PAGE </w:instrText>
    </w:r>
    <w:r>
      <w:rPr>
        <w:rFonts w:ascii="宋体" w:eastAsia="宋体" w:hAnsi="宋体" w:cs="宋体"/>
        <w:sz w:val="18"/>
      </w:rPr>
      <w:fldChar w:fldCharType="separate"/>
    </w:r>
    <w:r>
      <w:rPr>
        <w:rFonts w:ascii="宋体" w:eastAsia="宋体" w:hAnsi="宋体" w:cs="宋体"/>
        <w:sz w:val="18"/>
      </w:rPr>
      <w:t>30</w:t>
    </w:r>
    <w:r>
      <w:rPr>
        <w:rFonts w:ascii="宋体" w:eastAsia="宋体" w:hAnsi="宋体" w:cs="宋体"/>
        <w:sz w:val="18"/>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宋体" w:eastAsia="宋体" w:hAnsi="宋体" w:cs="宋体"/>
        <w:sz w:val="18"/>
      </w:rPr>
      <w:fldChar w:fldCharType="begin"/>
    </w:r>
    <w:r>
      <w:rPr>
        <w:rFonts w:ascii="宋体" w:eastAsia="宋体" w:hAnsi="宋体" w:cs="宋体"/>
        <w:sz w:val="18"/>
      </w:rPr>
      <w:instrText xml:space="preserve"> PAGE </w:instrText>
    </w:r>
    <w:r>
      <w:rPr>
        <w:rFonts w:ascii="宋体" w:eastAsia="宋体" w:hAnsi="宋体" w:cs="宋体"/>
        <w:sz w:val="18"/>
      </w:rPr>
      <w:fldChar w:fldCharType="separate"/>
    </w:r>
    <w:r>
      <w:rPr>
        <w:rFonts w:ascii="宋体" w:eastAsia="宋体" w:hAnsi="宋体" w:cs="宋体"/>
        <w:sz w:val="18"/>
      </w:rPr>
      <w:t>31</w:t>
    </w:r>
    <w:r>
      <w:rPr>
        <w:rFonts w:ascii="宋体" w:eastAsia="宋体" w:hAnsi="宋体" w:cs="宋体"/>
        <w:sz w:val="18"/>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宋体" w:eastAsia="宋体" w:hAnsi="宋体" w:cs="宋体"/>
        <w:sz w:val="18"/>
      </w:rPr>
      <w:fldChar w:fldCharType="begin"/>
    </w:r>
    <w:r>
      <w:rPr>
        <w:rFonts w:ascii="宋体" w:eastAsia="宋体" w:hAnsi="宋体" w:cs="宋体"/>
        <w:sz w:val="18"/>
      </w:rPr>
      <w:instrText xml:space="preserve"> PAGE </w:instrText>
    </w:r>
    <w:r>
      <w:rPr>
        <w:rFonts w:ascii="宋体" w:eastAsia="宋体" w:hAnsi="宋体" w:cs="宋体"/>
        <w:sz w:val="18"/>
      </w:rPr>
      <w:fldChar w:fldCharType="separate"/>
    </w:r>
    <w:r>
      <w:rPr>
        <w:rFonts w:ascii="宋体" w:eastAsia="宋体" w:hAnsi="宋体" w:cs="宋体"/>
        <w:sz w:val="18"/>
      </w:rPr>
      <w:t>44</w:t>
    </w:r>
    <w:r>
      <w:rPr>
        <w:rFonts w:ascii="宋体" w:eastAsia="宋体" w:hAnsi="宋体" w:cs="宋体"/>
        <w:sz w:val="18"/>
      </w:rPr>
      <w:fldChar w:fldCharType="end"/>
    </w:r>
  </w:p>
</w:ftr>
</file>

<file path=word/settings.xml><?xml version="1.0" encoding="utf-8"?>
<w:settings xmlns:w="http://schemas.openxmlformats.org/wordprocessingml/2006/main" xmlns:w15="http://schemas.microsoft.com/office/word/2012/wordml"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semiHidden="0" w:uiPriority="0" w:unhideWhenUsed="0" w:qFormat="1"/>
    <w:lsdException w:name="toc 6" w:semiHidden="0" w:uiPriority="0" w:unhideWhenUsed="0" w:qFormat="1"/>
    <w:lsdException w:name="toc 7" w:semiHidden="0" w:uiPriority="0" w:unhideWhenUsed="0" w:qFormat="1"/>
    <w:lsdException w:name="toc 8" w:semiHidden="0" w:uiPriority="0" w:unhideWhenUsed="0" w:qFormat="1"/>
    <w:lsdException w:name="toc 9" w:semiHidden="0" w:uiPriority="0" w:unhideWhenUsed="0" w:qFormat="1"/>
    <w:lsdException w:name="Normal Indent" w:uiPriority="0"/>
    <w:lsdException w:name="footnote text" w:uiPriority="0"/>
    <w:lsdException w:name="annotation text" w:uiPriority="0"/>
    <w:lsdException w:name="header" w:semiHidden="0" w:uiPriority="0" w:unhideWhenUsed="0" w:qFormat="1"/>
    <w:lsdException w:name="footer" w:semiHidden="0" w:uiPriority="0" w:unhideWhenUsed="0" w:qFormat="1"/>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semiHidden="0" w:uiPriority="0" w:unhideWhenUsed="0" w:qFormat="1"/>
    <w:lsdException w:name="endnote reference" w:uiPriority="0"/>
    <w:lsdException w:name="endnote text" w:uiPriority="0"/>
    <w:lsdException w:name="table of authorities" w:semiHidden="0" w:uiPriority="0" w:unhideWhenUsed="0"/>
    <w:lsdException w:name="macro" w:uiPriority="0"/>
    <w:lsdException w:name="toa heading" w:uiPriority="0"/>
    <w:lsdException w:name="List" w:semiHidden="0" w:uiPriority="0" w:unhideWhenUsed="0"/>
    <w:lsdException w:name="List Bullet" w:semiHidden="0"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qFormat="1"/>
    <w:lsdException w:name="Body Text" w:uiPriority="0"/>
    <w:lsdException w:name="Body Text Indent" w:uiPriority="0"/>
    <w:lsdException w:name="List Continue" w:uiPriority="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uiPriority="0"/>
    <w:lsdException w:name="Subtitle" w:semiHidden="0" w:uiPriority="0"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semiHidden="0" w:uiPriority="0" w:unhideWhenUsed="0" w:qFormat="1"/>
    <w:lsdException w:name="FollowedHyperlink" w:uiPriority="0"/>
    <w:lsdException w:name="Strong" w:semiHidden="0" w:uiPriority="0" w:unhideWhenUsed="0" w:qFormat="1"/>
    <w:lsdException w:name="Emphasis" w:semiHidden="0" w:uiPriority="0" w:unhideWhenUsed="0" w:qFormat="1"/>
    <w:lsdException w:name="Document Map" w:semiHidden="0" w:uiPriority="0" w:unhideWhenUsed="0" w:qFormat="1"/>
    <w:lsdException w:name="Plain Text" w:uiPriority="0"/>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qFormat="1"/>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lsdException w:name="Table Theme" w:uiPriority="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1">
    <w:name w:val="heading 1"/>
    <w:basedOn w:val="Normal"/>
    <w:next w:val="Normal"/>
    <w:qFormat/>
    <w:pPr>
      <w:keepNext/>
      <w:keepLines/>
      <w:spacing w:before="340" w:after="330" w:line="578" w:lineRule="auto"/>
      <w:outlineLvl w:val="0"/>
    </w:pPr>
    <w:rPr>
      <w:rFonts w:eastAsia="仿宋"/>
      <w:bCs/>
      <w:kern w:val="44"/>
      <w:sz w:val="32"/>
      <w:szCs w:val="44"/>
    </w:rPr>
  </w:style>
  <w:style w:type="paragraph" w:styleId="Heading2">
    <w:name w:val="heading 2"/>
    <w:basedOn w:val="NoSpacing"/>
    <w:next w:val="NoSpacing"/>
    <w:qFormat/>
    <w:pPr>
      <w:keepNext/>
      <w:keepLines/>
      <w:spacing w:before="260" w:after="260" w:line="416" w:lineRule="auto"/>
      <w:outlineLvl w:val="1"/>
    </w:pPr>
    <w:rPr>
      <w:rFonts w:ascii="Arial" w:eastAsia="仿宋" w:hAnsi="Arial"/>
      <w:bCs/>
      <w:sz w:val="32"/>
      <w:szCs w:val="32"/>
    </w:rPr>
  </w:style>
  <w:style w:type="paragraph" w:styleId="Heading3">
    <w:name w:val="heading 3"/>
    <w:basedOn w:val="NoSpacing"/>
    <w:next w:val="NoSpacing"/>
    <w:link w:val="3"/>
    <w:qFormat/>
    <w:pPr>
      <w:keepNext/>
      <w:keepLines/>
      <w:spacing w:before="260" w:after="260" w:line="416" w:lineRule="auto"/>
      <w:outlineLvl w:val="2"/>
    </w:pPr>
    <w:rPr>
      <w:rFonts w:eastAsia="仿宋"/>
      <w:bCs/>
      <w:sz w:val="32"/>
      <w:szCs w:val="32"/>
    </w:rPr>
  </w:style>
  <w:style w:type="paragraph" w:styleId="Heading4">
    <w:name w:val="heading 4"/>
    <w:basedOn w:val="NoSpacing"/>
    <w:next w:val="NoSpacing"/>
    <w:link w:val="4"/>
    <w:qFormat/>
    <w:pPr>
      <w:keepNext/>
      <w:keepLines/>
      <w:spacing w:before="280" w:after="290" w:line="376" w:lineRule="auto"/>
      <w:outlineLvl w:val="3"/>
    </w:pPr>
    <w:rPr>
      <w:rFonts w:ascii="Cambria" w:eastAsia="仿宋" w:hAnsi="Cambria"/>
      <w:bCs/>
      <w:sz w:val="32"/>
      <w:szCs w:val="28"/>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NoSpacing">
    <w:name w:val="No Spacing"/>
    <w:link w:val="a"/>
    <w:qFormat/>
    <w:pPr>
      <w:ind w:firstLine="200" w:firstLineChars="200"/>
    </w:pPr>
    <w:rPr>
      <w:rFonts w:ascii="Times New Roman" w:eastAsia="仿宋_GB2312" w:hAnsi="Times New Roman" w:cs="Times New Roman"/>
      <w:sz w:val="30"/>
      <w:szCs w:val="22"/>
      <w:lang w:val="en-US" w:eastAsia="zh-CN" w:bidi="ar-SA"/>
    </w:rPr>
  </w:style>
  <w:style w:type="paragraph" w:styleId="TOC7">
    <w:name w:val="toc 7"/>
    <w:basedOn w:val="Normal"/>
    <w:next w:val="Normal"/>
    <w:autoRedefine/>
    <w:qFormat/>
    <w:pPr>
      <w:ind w:left="1260"/>
      <w:jc w:val="left"/>
    </w:pPr>
    <w:rPr>
      <w:sz w:val="20"/>
      <w:szCs w:val="20"/>
    </w:rPr>
  </w:style>
  <w:style w:type="paragraph" w:styleId="DocumentMap">
    <w:name w:val="Document Map"/>
    <w:basedOn w:val="Normal"/>
    <w:qFormat/>
    <w:pPr>
      <w:shd w:val="clear" w:color="auto" w:fill="000080"/>
    </w:pPr>
  </w:style>
  <w:style w:type="paragraph" w:styleId="TOC5">
    <w:name w:val="toc 5"/>
    <w:basedOn w:val="Normal"/>
    <w:next w:val="Normal"/>
    <w:autoRedefine/>
    <w:qFormat/>
    <w:pPr>
      <w:ind w:left="840"/>
      <w:jc w:val="left"/>
    </w:pPr>
    <w:rPr>
      <w:sz w:val="20"/>
      <w:szCs w:val="20"/>
    </w:rPr>
  </w:style>
  <w:style w:type="paragraph" w:styleId="TOC3">
    <w:name w:val="toc 3"/>
    <w:next w:val="Heading3"/>
    <w:qFormat/>
    <w:pPr>
      <w:adjustRightInd w:val="0"/>
      <w:snapToGrid w:val="0"/>
      <w:spacing w:line="360" w:lineRule="auto"/>
      <w:ind w:firstLine="400" w:firstLineChars="400"/>
      <w:jc w:val="left"/>
    </w:pPr>
    <w:rPr>
      <w:rFonts w:ascii="Times New Roman" w:eastAsia="仿宋" w:hAnsi="Times New Roman" w:cs="Times New Roman"/>
      <w:sz w:val="32"/>
      <w:szCs w:val="20"/>
    </w:rPr>
  </w:style>
  <w:style w:type="paragraph" w:styleId="TOC8">
    <w:name w:val="toc 8"/>
    <w:basedOn w:val="Normal"/>
    <w:next w:val="Normal"/>
    <w:autoRedefine/>
    <w:qFormat/>
    <w:pPr>
      <w:ind w:left="1470"/>
      <w:jc w:val="left"/>
    </w:pPr>
    <w:rPr>
      <w:sz w:val="20"/>
      <w:szCs w:val="20"/>
    </w:rPr>
  </w:style>
  <w:style w:type="paragraph" w:styleId="Footer">
    <w:name w:val="footer"/>
    <w:basedOn w:val="Normal"/>
    <w:link w:val="a0"/>
    <w:qFormat/>
    <w:pPr>
      <w:tabs>
        <w:tab w:val="center" w:pos="4153"/>
        <w:tab w:val="right" w:pos="8306"/>
      </w:tabs>
      <w:snapToGrid w:val="0"/>
      <w:jc w:val="left"/>
    </w:pPr>
    <w:rPr>
      <w:sz w:val="18"/>
      <w:szCs w:val="18"/>
    </w:rPr>
  </w:style>
  <w:style w:type="paragraph" w:styleId="Header">
    <w:name w:val="header"/>
    <w:basedOn w:val="Normal"/>
    <w:qFormat/>
    <w:pPr>
      <w:pBdr>
        <w:bottom w:val="single" w:sz="6" w:space="1" w:color="auto"/>
      </w:pBdr>
      <w:tabs>
        <w:tab w:val="center" w:pos="4153"/>
        <w:tab w:val="right" w:pos="8306"/>
      </w:tabs>
      <w:snapToGrid w:val="0"/>
      <w:jc w:val="center"/>
    </w:pPr>
    <w:rPr>
      <w:sz w:val="18"/>
      <w:szCs w:val="18"/>
    </w:rPr>
  </w:style>
  <w:style w:type="paragraph" w:styleId="TOC1">
    <w:name w:val="toc 1"/>
    <w:next w:val="NoSpacing"/>
    <w:qFormat/>
    <w:pPr>
      <w:adjustRightInd w:val="0"/>
      <w:snapToGrid w:val="0"/>
      <w:spacing w:line="360" w:lineRule="auto"/>
      <w:jc w:val="left"/>
    </w:pPr>
    <w:rPr>
      <w:rFonts w:ascii="Times New Roman" w:eastAsia="仿宋" w:hAnsi="Times New Roman" w:cs="Times New Roman"/>
      <w:bCs/>
      <w:sz w:val="32"/>
      <w:szCs w:val="20"/>
    </w:rPr>
  </w:style>
  <w:style w:type="paragraph" w:styleId="TOC4">
    <w:name w:val="toc 4"/>
    <w:basedOn w:val="Normal"/>
    <w:next w:val="Normal"/>
    <w:autoRedefine/>
    <w:qFormat/>
    <w:pPr>
      <w:ind w:left="630"/>
      <w:jc w:val="left"/>
    </w:pPr>
    <w:rPr>
      <w:sz w:val="20"/>
      <w:szCs w:val="20"/>
    </w:rPr>
  </w:style>
  <w:style w:type="paragraph" w:styleId="TOC6">
    <w:name w:val="toc 6"/>
    <w:basedOn w:val="Normal"/>
    <w:next w:val="Normal"/>
    <w:autoRedefine/>
    <w:qFormat/>
    <w:pPr>
      <w:ind w:left="1050"/>
      <w:jc w:val="left"/>
    </w:pPr>
    <w:rPr>
      <w:sz w:val="20"/>
      <w:szCs w:val="20"/>
    </w:rPr>
  </w:style>
  <w:style w:type="paragraph" w:styleId="TOC2">
    <w:name w:val="toc 2"/>
    <w:next w:val="NoSpacing"/>
    <w:qFormat/>
    <w:pPr>
      <w:adjustRightInd w:val="0"/>
      <w:snapToGrid w:val="0"/>
      <w:spacing w:line="360" w:lineRule="auto"/>
      <w:ind w:firstLine="200" w:firstLineChars="200"/>
      <w:jc w:val="left"/>
    </w:pPr>
    <w:rPr>
      <w:rFonts w:ascii="Times New Roman" w:eastAsia="仿宋" w:hAnsi="Times New Roman" w:cs="Times New Roman"/>
      <w:b/>
      <w:iCs/>
      <w:sz w:val="32"/>
      <w:szCs w:val="20"/>
    </w:rPr>
  </w:style>
  <w:style w:type="paragraph" w:styleId="TOC9">
    <w:name w:val="toc 9"/>
    <w:basedOn w:val="Normal"/>
    <w:next w:val="Normal"/>
    <w:autoRedefine/>
    <w:qFormat/>
    <w:pPr>
      <w:ind w:left="1680"/>
      <w:jc w:val="left"/>
    </w:pPr>
    <w:rPr>
      <w:sz w:val="20"/>
      <w:szCs w:val="20"/>
    </w:rPr>
  </w:style>
  <w:style w:type="character" w:styleId="PageNumber">
    <w:name w:val="page number"/>
    <w:basedOn w:val="DefaultParagraphFont"/>
    <w:qFormat/>
  </w:style>
  <w:style w:type="character" w:styleId="Hyperlink">
    <w:name w:val="Hyperlink"/>
    <w:qFormat/>
    <w:rPr>
      <w:rFonts w:ascii="宋体" w:eastAsia="仿宋" w:hAnsi="宋体" w:cs="Times New Roman"/>
      <w:kern w:val="2"/>
      <w:sz w:val="32"/>
      <w:szCs w:val="32"/>
      <w:lang w:val="en-US" w:eastAsia="zh-CN" w:bidi="ar-SA"/>
    </w:rPr>
  </w:style>
  <w:style w:type="character" w:customStyle="1" w:styleId="3">
    <w:name w:val="标题 3 字符"/>
    <w:basedOn w:val="DefaultParagraphFont"/>
    <w:link w:val="Heading3"/>
    <w:qFormat/>
    <w:rPr>
      <w:rFonts w:eastAsia="仿宋"/>
      <w:bCs/>
      <w:kern w:val="2"/>
      <w:sz w:val="32"/>
      <w:szCs w:val="32"/>
    </w:rPr>
  </w:style>
  <w:style w:type="character" w:customStyle="1" w:styleId="4">
    <w:name w:val="标题 4 字符"/>
    <w:basedOn w:val="DefaultParagraphFont"/>
    <w:link w:val="Heading4"/>
    <w:qFormat/>
    <w:rPr>
      <w:rFonts w:ascii="Cambria" w:eastAsia="仿宋" w:hAnsi="Cambria"/>
      <w:bCs/>
      <w:kern w:val="2"/>
      <w:sz w:val="32"/>
      <w:szCs w:val="28"/>
    </w:rPr>
  </w:style>
  <w:style w:type="character" w:customStyle="1" w:styleId="a">
    <w:name w:val="无间隔 字符"/>
    <w:link w:val="NoSpacing"/>
    <w:qFormat/>
    <w:locked/>
    <w:rPr>
      <w:rFonts w:eastAsia="仿宋_GB2312"/>
      <w:sz w:val="30"/>
      <w:szCs w:val="22"/>
      <w:lang w:bidi="ar-SA"/>
    </w:rPr>
  </w:style>
  <w:style w:type="character" w:customStyle="1" w:styleId="a0">
    <w:name w:val="页脚 字符"/>
    <w:basedOn w:val="DefaultParagraphFont"/>
    <w:link w:val="Footer"/>
    <w:qFormat/>
    <w:rPr>
      <w:kern w:val="2"/>
      <w:sz w:val="18"/>
      <w:szCs w:val="18"/>
    </w:rPr>
  </w:style>
  <w:style w:type="paragraph" w:styleId="ListParagraph">
    <w:name w:val="List Paragraph"/>
    <w:basedOn w:val="Normal"/>
    <w:qFormat/>
    <w:pPr>
      <w:ind w:firstLine="420" w:firstLineChars="200"/>
    </w:pPr>
  </w:style>
  <w:style w:type="paragraph" w:customStyle="1" w:styleId="MsoNormal">
    <w:name w:val="MsoNormal"/>
    <w:basedOn w:val="Normal"/>
  </w:style>
  <w:style w:type="paragraph" w:customStyle="1" w:styleId="p">
    <w:name w:val="p"/>
    <w:basedOn w:val="Normal"/>
  </w:style>
  <w:style w:type="paragraph" w:customStyle="1" w:styleId="15">
    <w:name w:val="15"/>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
    <Relationship Target="settings.xml" Type="http://schemas.openxmlformats.org/officeDocument/2006/relationships/settings" Id="rId1"/>
    <Relationship Target="footer6.xml" Type="http://schemas.openxmlformats.org/officeDocument/2006/relationships/footer" Id="rId10"/>
    <Relationship Target="footer7.xml" Type="http://schemas.openxmlformats.org/officeDocument/2006/relationships/footer" Id="rId11"/>
    <Relationship Target="footer8.xml" Type="http://schemas.openxmlformats.org/officeDocument/2006/relationships/footer" Id="rId12"/>
    <Relationship Target="footer9.xml" Type="http://schemas.openxmlformats.org/officeDocument/2006/relationships/footer" Id="rId13"/>
    <Relationship Target="footer10.xml" Type="http://schemas.openxmlformats.org/officeDocument/2006/relationships/footer" Id="rId14"/>
    <Relationship Target="footer11.xml" Type="http://schemas.openxmlformats.org/officeDocument/2006/relationships/footer" Id="rId15"/>
    <Relationship Target="footer12.xml" Type="http://schemas.openxmlformats.org/officeDocument/2006/relationships/footer" Id="rId16"/>
    <Relationship Target="footer13.xml" Type="http://schemas.openxmlformats.org/officeDocument/2006/relationships/footer" Id="rId17"/>
    <Relationship Target="footer14.xml" Type="http://schemas.openxmlformats.org/officeDocument/2006/relationships/footer" Id="rId18"/>
    <Relationship Target="footer15.xml" Type="http://schemas.openxmlformats.org/officeDocument/2006/relationships/footer" Id="rId19"/>
    <Relationship Target="webSettings.xml" Type="http://schemas.openxmlformats.org/officeDocument/2006/relationships/webSettings" Id="rId2"/>
    <Relationship Target="footer16.xml" Type="http://schemas.openxmlformats.org/officeDocument/2006/relationships/footer" Id="rId20"/>
    <Relationship Target="footer17.xml" Type="http://schemas.openxmlformats.org/officeDocument/2006/relationships/footer" Id="rId21"/>
    <Relationship Target="footer18.xml" Type="http://schemas.openxmlformats.org/officeDocument/2006/relationships/footer" Id="rId22"/>
    <Relationship Target="footer19.xml" Type="http://schemas.openxmlformats.org/officeDocument/2006/relationships/footer" Id="rId23"/>
    <Relationship Target="footer20.xml" Type="http://schemas.openxmlformats.org/officeDocument/2006/relationships/footer" Id="rId24"/>
    <Relationship Target="theme/theme1.xml" Type="http://schemas.openxmlformats.org/officeDocument/2006/relationships/theme" Id="rId25"/>
    <Relationship Target="styles.xml" Type="http://schemas.openxmlformats.org/officeDocument/2006/relationships/styles" Id="rId26"/>
    <Relationship Target="fontTable.xml" Type="http://schemas.openxmlformats.org/officeDocument/2006/relationships/fontTable" Id="rId3"/>
    <Relationship Target="../customXml/item1.xml" Type="http://schemas.openxmlformats.org/officeDocument/2006/relationships/customXml" Id="rId4"/>
    <Relationship Target="footer1.xml" Type="http://schemas.openxmlformats.org/officeDocument/2006/relationships/footer" Id="rId5"/>
    <Relationship Target="footer2.xml" Type="http://schemas.openxmlformats.org/officeDocument/2006/relationships/footer" Id="rId6"/>
    <Relationship Target="footer3.xml" Type="http://schemas.openxmlformats.org/officeDocument/2006/relationships/footer" Id="rId7"/>
    <Relationship Target="footer4.xml" Type="http://schemas.openxmlformats.org/officeDocument/2006/relationships/footer" Id="rId8"/>
    <Relationship Target="footer5.xml" Type="http://schemas.openxmlformats.org/officeDocument/2006/relationships/footer" Id="rI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57559B6-2DC7-41B5-818F-6E7F243775C0}">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47</Pages>
  <Words>20</Words>
  <Characters>35</Characters>
  <Application>Microsoft Office Word</Application>
  <DocSecurity>0</DocSecurity>
  <Lines>1</Lines>
  <Paragraphs>1</Paragraphs>
  <ScaleCrop>false</ScaleCrop>
  <Company>微软中国</Company>
  <LinksUpToDate>false</LinksUpToDate>
  <CharactersWithSpaces>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××年度××部门/单位</dc:title>
  <dc:creator>Administrator</dc:creator>
  <cp:lastModifiedBy>fff</cp:lastModifiedBy>
  <cp:revision>18</cp:revision>
  <cp:lastPrinted>2021-04-16T00:45:00Z</cp:lastPrinted>
  <dcterms:created xsi:type="dcterms:W3CDTF">2022-03-23T12:40:00Z</dcterms:created>
  <dcterms:modified xsi:type="dcterms:W3CDTF">2026-07-08T00:53:51Z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432A2B29825044B2829BE3A0156B93DD_13</vt:lpwstr>
  </property>
  <property fmtid="{D5CDD505-2E9C-101B-9397-08002B2CF9AE}" pid="3" name="KSOProductBuildVer">
    <vt:lpwstr>2052-12.1.0.26375</vt:lpwstr>
  </property>
  <property fmtid="{D5CDD505-2E9C-101B-9397-08002B2CF9AE}" pid="4" name="KSOTemplateDocerSaveRecord">
    <vt:lpwstr>eyJoZGlkIjoiMjBmNzFhNTE2ODA4NWNjMzY3MDUyM2Q1MGJjODVmODYiLCJ1c2VySWQiOiIzNzI5MDg1NDQifQ==</vt:lpwstr>
  </property>
</Properties>
</file>