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开善乡20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年法治建设情况报告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</w:rPr>
        <w:t>在县委、县政府的正确领导下，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开善乡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坚持以习近平新时代中国特色社会主义思想为指导,深入学习贯彻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十九大及历次全会、党的二十大，省市党代会，中央全面依法治国工作会议精神，以及中央省市县有关工作部署，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切实抓好全面推进依法行政工作要点的落实，努力提升依法行政水平，加快法治政府建设，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推进法治工作顺利开展，</w:t>
      </w:r>
      <w:r>
        <w:rPr>
          <w:rFonts w:hint="eastAsia" w:ascii="仿宋_GB2312" w:hAnsi="仿宋_GB2312" w:eastAsia="仿宋_GB2312" w:cs="仿宋_GB2312"/>
          <w:sz w:val="32"/>
          <w:szCs w:val="32"/>
        </w:rPr>
        <w:t>较好地完成了全年工作任务。现将我乡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法治政府建设情况报告如下：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年度法治政府建设情况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加强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组织领导，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强化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工作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落实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一是乡党委政府积极贯彻落实《党政主要负责人履行推进法治建设第一责任人职责规定》《法治政府建设与责任落实督察工作规定》和省、市、县法治政府建设实施方案的要求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，积极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推进法治建设第一责任人职责，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始终把党的政治建设摆在首位，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深入学习贯彻习近平总书记系列重要讲话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和来闽来明考察重要讲话精神，扎实推进党史学习教育走深走实，做实学党史、悟思想、办实事、开新局。二是严格落实意识形态工作责任制，把法治建设工作作为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一项重要的政治任务摆上工作议程。同时充分发挥乡党委对一切工作的核心领导作用，以制度建设为突破口，建立健全各项工作制度；明确法治工作的重要性，将法治建设纳入乡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全年工作规划；把法治建设经费纳入财政预算，加大投入力度，强化财政监管，确保普法和法治建设的落实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顺利开展。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三是创新普法宣传形式。乡村干部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利用每周三下村日深入村组开展普法宣传教育，利用好每周四晚的“居民夜谈会”，在进行政策宣传和收集村情民意的同时以话家常的形式把普法知识“聊”进群众心里，“聊”近群众生活。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夯实基层基础，推进依法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治理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一是优化社会职能。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调整充实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五”普法工作领导小组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《关于在全乡公民中开展法治宣传教育的第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个五年（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年）规划的通知》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中共泰宁县委全面依法治县委员会关于印发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法治泰宁建设规划（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2021-2025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年&gt;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的通知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积极开展普法工作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形成党政领导亲自抓、分管领导具体抓、相关站所沟通协调、全员参与的普法工作新机制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充分发挥法治在社会建设中的规范、保障和促进作用。针对社会领域中出现的新情况、新问题，重点做好社区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矫正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人员、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安置帮教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人员等重点人员的学法和依法管理，有效预防高危人群的违法犯罪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通过创新社会管理的方法和手段，努力实现由粗放型、防范型管理向法治型、服务型管理的转变。二是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发挥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基层自治。以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instrText xml:space="preserve"> HYPERLINK "https://www.360kuai.com/pc/9c9ac7a89e7dd78e3?cota=3&amp;kuai_so=1&amp;sign=360_57c3bbd1&amp;refer_scene=so_1" \t "https://www.so.com/_blank"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推进美丽乡村建设,实施乡村振兴战略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为目标，不断加强基层民主法治建设，积极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推进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普法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宣传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工作，全面落实“法律六进”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、平安开善建设、安全生产等工作，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巩固和完善基层自治组织自我管理、自我服务、自我教育、自我监督各项功能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，打造“法治、德治、自治”三治融合的基层治理模式。在全乡范围内培育了一批规模达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130余人的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“法治带头人”“法律明白人”队伍和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10支党员志愿队伍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。今年以来，共开展各类普法宣传活动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50余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次，发放各类宣传材料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2万余份，解答群众咨询200余人次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。通过整合资源，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在余源村打造禁毒长廊、在洋坑村打造禁毒小广场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，让群众在休闲娱乐的同时，接受禁毒教育。三是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落实人调工作。充分发挥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1个乡级人民调解委员会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2个调解工作室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10个村级调解委员会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的矛盾纠纷排查调处作用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，推动人民调解工作重心下移，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积极发挥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乡调委会驻派出所调解工作室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访调对接工作室和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信访评理室作用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，健全人民调解组织网络，实现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乡、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村委会人民调解组织全覆盖，推进企事业单位、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各村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、社会团体、行业组织中人民调解组织建设。整合法治资源，加强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综治、派出所、司法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等服务平台建设，做到社会矛盾纠纷“小事不出村，大事不出乡，矛盾不上交”，矛盾纠纷化解在基层。今年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共参与调解民事矛盾纠纷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起，受理信访件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（三）深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化制度改革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，依法全面履职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一是落实“乡呼县应、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instrText xml:space="preserve"> HYPERLINK "https://www.so.com/link?m=bxokLDpyrnAihO1+65P4u6ql0b+Q7p7c1D28UHH/ncGA5HKwrucHXvid7+HHSZAfIJahA8MAMzYWizOfyt9vztDw+FjnnWjJ5u5IPWITS/kyEfVbyo39XjZhsQQ3QSLJpwx6ASP/+h0HZv/Wy+8vWkL9r3sVB+jYRM1lYKLD6VmG2JG2F9EepLq3JrJOCK/gFVGzgbNZU/hPy5FkQXL14opx2d8tqc/OMAnX8MTjb+MdBAr92Ufu1VYCzwsyzrdZ9K/c6bxrDdNFCNOl+Li8k7zTrK0UxycIbZkJjEADiy2cgpRocdNoI0SXu0I/4QVrNItQ8tTU8Eow=" \t "https://www.so.com/_blank"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上下联动、属地管理”工作机制 ,充分发挥“属地管理”试点工作领导小组作用，强化组织领导，扎实推进“属地管理”工作有序开展，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instrText xml:space="preserve"> HYPERLINK "http://wenku.cyjzzd.com/a/1300037101" \t "https://www.so.com/_blank"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实现社会治理体系与治理能力现代化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结合乡情，不断形成适合我乡工作开展的方式方法，确保县乡两级呼应联动、协同高效地抓好工作落实，切实提升基层治理能力和服务群众水平。今年，共完成“乡呼县应”1次申请和办理。二是推进乡镇机构改革，提高基层治理能力 。经过机构改革，党政机关统一设置6个内设机构：党政办公室、党建工作办公室、乡村振兴办公室、社会事务办公室、社会治理办公室、综合执法办公室；事业机构整合为3个：开善乡经济发展综合服务中心、开善乡社会事务综合服务中心、开善乡村镇建设综合服务中心。通过内设机构磨合，整合基层力量,创新了工作方法,提高群众满意度,更有利于推动基层党建与基层治理深度融合。三是推行政府工作部门权责清单制度，对接县编办权责清单，征求各站所部门的意见建议，结合法律法规立改废释以及“放管服”改革等情况，对权责清单作了进一步调整和完善，共整合权责清单195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（四）严格依法行政，推进廉洁执法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一是严格落实民主集中制和“三重一大”报告制度，自觉接受人大、政协和社会各界监督，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截至日前共收集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人大代表建议、意见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17条，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大代表建议、意见办理满意率100%。二是严格落实公务接待、公车使用、工程招投标、政府采购工程项目建设管理等制度，严肃查处违纪违法案件，积极践行监督执纪“四种形态”，不断增强监督执纪实效，全年共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谈话提醒7人，批评教育8人，诫勉谈话1人，警告处分4人，开除党籍1人。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建立行政法规、规章和规范性文件清理长效机制。根据全面深化改革、经济社会发展需要，以及上位法制定、修改、废止情况，及时清理有关行政法规、规章、规范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性文件。实行行政法规、规章、规范性文件目录和文本动态化、信息化管理，根据规范性文件立改废情况及时作出调整并向社会公布。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二、推进法治政府建设存在的不足和原因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2022年，开善乡法治政府建设工作虽取得了阶段性成效，但距上级和人民群众的要求，还存在一定不足和问题，主要表现在以下几个方面：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一是普法的宣传氛围不够浓厚，普法阵地主题不够突出，活动开展形式不够新颖，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宣传活动出现阶段性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；普法力量较薄弱，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较偏远的村宣传开展多数依靠村干部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，法治带头人作用发挥不明显，社会参与度不高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；二是“谁执法谁普法”责任制的落实不精准，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普法宣传人力、物力有限，由乡综治办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司法所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等部门牵头，但是其余站所参与率不够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宣传内容不够全面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；三是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未设立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专门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法治机构，缺乏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专门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法治人才，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法治建设工作默认由司法所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牵头，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在推进法治政府建设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较缓慢。由于经费有限，未继续</w:t>
      </w:r>
      <w:r>
        <w:rPr>
          <w:rFonts w:hint="eastAsia" w:ascii="仿宋_GB2312" w:hAnsi="仿宋_GB2312" w:eastAsia="仿宋_GB2312" w:cs="仿宋_GB2312"/>
          <w:sz w:val="32"/>
          <w:szCs w:val="32"/>
        </w:rPr>
        <w:t>聘任法律顾问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法治政府建设工作开展不够持续。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年推进法治政府建设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计划安排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年，我乡将继续贯彻落实全面依法行政，加快推进依法行政、建设法治政府的进程，重点抓好以下工作：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（一）普法阵地建设持续加强。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一是不断创新法治文化载体，加强法治文化宣传阵地建设，以开善乡生态廊道建设为契机，不断完善</w:t>
      </w:r>
      <w:r>
        <w:rPr>
          <w:rFonts w:hint="eastAsia" w:ascii="仿宋_GB2312" w:hAnsi="仿宋_GB2312" w:eastAsia="仿宋_GB2312" w:cs="仿宋_GB2312"/>
          <w:sz w:val="32"/>
          <w:szCs w:val="32"/>
        </w:rPr>
        <w:t>开善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乡法治文化园建设，推进</w:t>
      </w:r>
      <w:r>
        <w:rPr>
          <w:rFonts w:hint="eastAsia" w:ascii="仿宋_GB2312" w:hAnsi="仿宋_GB2312" w:eastAsia="仿宋_GB2312" w:cs="仿宋_GB2312"/>
          <w:sz w:val="32"/>
          <w:szCs w:val="32"/>
        </w:rPr>
        <w:t>集镇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禁毒小</w:t>
      </w:r>
      <w:r>
        <w:rPr>
          <w:rFonts w:hint="eastAsia" w:ascii="仿宋_GB2312" w:hAnsi="仿宋_GB2312" w:eastAsia="仿宋_GB2312" w:cs="仿宋_GB2312"/>
          <w:sz w:val="32"/>
          <w:szCs w:val="32"/>
        </w:rPr>
        <w:t>广场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建设，整合各村资源推进民主法治村建设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创新普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法形式，有效地将普法知识融入公共休闲场所中，让村民在休闲娱乐的同时，学习法律知识，了解法律常识，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接受法治文化熏陶，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增强法治意识。二是</w:t>
      </w:r>
      <w:r>
        <w:rPr>
          <w:rFonts w:hint="eastAsia" w:ascii="仿宋_GB2312" w:eastAsia="仿宋_GB2312"/>
          <w:color w:val="000000"/>
          <w:spacing w:val="0"/>
          <w:sz w:val="32"/>
          <w:szCs w:val="32"/>
          <w:lang w:eastAsia="zh-CN"/>
        </w:rPr>
        <w:t>依托</w:t>
      </w:r>
      <w:r>
        <w:rPr>
          <w:rFonts w:hint="eastAsia" w:ascii="仿宋_GB2312" w:eastAsia="仿宋_GB2312"/>
          <w:color w:val="000000"/>
          <w:spacing w:val="0"/>
          <w:sz w:val="32"/>
          <w:szCs w:val="32"/>
        </w:rPr>
        <w:t>新时代文明实践中心</w:t>
      </w:r>
      <w:r>
        <w:rPr>
          <w:rFonts w:ascii="仿宋_GB2312" w:eastAsia="仿宋_GB2312"/>
          <w:color w:val="000000"/>
          <w:spacing w:val="0"/>
          <w:sz w:val="32"/>
          <w:szCs w:val="32"/>
        </w:rPr>
        <w:t>(</w:t>
      </w:r>
      <w:r>
        <w:rPr>
          <w:rFonts w:hint="eastAsia" w:ascii="仿宋_GB2312" w:eastAsia="仿宋_GB2312"/>
          <w:color w:val="000000"/>
          <w:spacing w:val="0"/>
          <w:sz w:val="32"/>
          <w:szCs w:val="32"/>
        </w:rPr>
        <w:t>所、站</w:t>
      </w:r>
      <w:r>
        <w:rPr>
          <w:rFonts w:ascii="仿宋_GB2312" w:eastAsia="仿宋_GB2312"/>
          <w:color w:val="000000"/>
          <w:spacing w:val="0"/>
          <w:sz w:val="32"/>
          <w:szCs w:val="32"/>
        </w:rPr>
        <w:t>)</w:t>
      </w:r>
      <w:r>
        <w:rPr>
          <w:rFonts w:hint="eastAsia" w:ascii="仿宋_GB2312" w:eastAsia="仿宋_GB2312"/>
          <w:color w:val="000000"/>
          <w:spacing w:val="0"/>
          <w:sz w:val="32"/>
          <w:szCs w:val="32"/>
        </w:rPr>
        <w:t>等阵地</w:t>
      </w:r>
      <w:r>
        <w:rPr>
          <w:rFonts w:hint="eastAsia" w:ascii="仿宋_GB2312" w:eastAsia="仿宋_GB2312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坚持“人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+文+物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”高度融合，设立“美德善行榜”，努力挖掘身边好人好事，凝聚正能量。</w:t>
      </w:r>
      <w:r>
        <w:rPr>
          <w:rFonts w:hint="eastAsia" w:ascii="仿宋_GB2312" w:eastAsia="仿宋_GB2312"/>
          <w:color w:val="000000"/>
          <w:spacing w:val="0"/>
          <w:sz w:val="32"/>
          <w:szCs w:val="32"/>
        </w:rPr>
        <w:t>以创建民主法治示范村等为</w:t>
      </w:r>
      <w:r>
        <w:rPr>
          <w:rFonts w:hint="eastAsia" w:ascii="仿宋_GB2312" w:eastAsia="仿宋_GB2312"/>
          <w:color w:val="000000"/>
          <w:spacing w:val="0"/>
          <w:sz w:val="32"/>
          <w:szCs w:val="32"/>
          <w:lang w:eastAsia="zh-CN"/>
        </w:rPr>
        <w:t>基础</w:t>
      </w:r>
      <w:r>
        <w:rPr>
          <w:rFonts w:hint="eastAsia" w:ascii="仿宋_GB2312" w:eastAsia="仿宋_GB2312"/>
          <w:color w:val="000000"/>
          <w:spacing w:val="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pacing w:val="0"/>
          <w:sz w:val="32"/>
          <w:szCs w:val="32"/>
          <w:lang w:eastAsia="zh-CN"/>
        </w:rPr>
        <w:t>努力打造</w:t>
      </w:r>
      <w:r>
        <w:rPr>
          <w:rFonts w:hint="eastAsia" w:ascii="仿宋_GB2312" w:eastAsia="仿宋_GB2312"/>
          <w:color w:val="000000"/>
          <w:spacing w:val="0"/>
          <w:sz w:val="32"/>
          <w:szCs w:val="32"/>
        </w:rPr>
        <w:t>各具特色的法治</w:t>
      </w:r>
      <w:r>
        <w:rPr>
          <w:rFonts w:hint="eastAsia" w:ascii="仿宋_GB2312" w:eastAsia="仿宋_GB2312"/>
          <w:color w:val="000000"/>
          <w:spacing w:val="0"/>
          <w:sz w:val="32"/>
          <w:szCs w:val="32"/>
          <w:lang w:eastAsia="zh-CN"/>
        </w:rPr>
        <w:t>村，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广洋坑村“五治”典型及余源村基层社会治理模式，大力宣传社会主义核心价值观，营造浓厚的法治文化氛围。三是持续推进线上听书服务平台——“农家有声书屋”的使用，将普法知识融入此听书平台，以声音的形式展现，使因识字受限、阅读不便的群众也能以另一种形式学习到法律知识，不断满足人民群众日益增长的法律知识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普法宣传形式不断创新。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开展部门联动。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乡直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部门、各站所、各村充分利用各种形式、各种节点、各种渠道宣传国家法律法规，积极做好“4.15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国家安全教育日、“12.4”国家宪法日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、民法典宣传月</w:t>
      </w:r>
      <w:r>
        <w:rPr>
          <w:rFonts w:hint="eastAsia" w:ascii="仿宋_GB2312" w:hAnsi="仿宋_GB2312" w:eastAsia="仿宋_GB2312" w:cs="仿宋_GB2312"/>
          <w:sz w:val="32"/>
          <w:szCs w:val="32"/>
        </w:rPr>
        <w:t>等专项法治宣传活动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丰富法治宣传活动形式，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让法治宣传入脑入心</w:t>
      </w:r>
      <w:r>
        <w:rPr>
          <w:rFonts w:hint="eastAsia" w:ascii="仿宋_GB2312" w:hAnsi="仿宋_GB2312" w:eastAsia="仿宋_GB2312" w:cs="仿宋_GB2312"/>
          <w:sz w:val="32"/>
          <w:szCs w:val="32"/>
        </w:rPr>
        <w:t>。二是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组织领导干部带头学法。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建立完善领导干部和行政机关工作人员、村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（基层）</w:t>
      </w:r>
      <w:r>
        <w:rPr>
          <w:rFonts w:hint="eastAsia" w:ascii="仿宋_GB2312" w:hAnsi="仿宋_GB2312" w:eastAsia="仿宋_GB2312" w:cs="仿宋_GB2312"/>
          <w:sz w:val="32"/>
          <w:szCs w:val="32"/>
        </w:rPr>
        <w:t>干部学法制度，加强法治教育培训，不断提高行政执法队伍的整体素质，增强全乡人民法律观念意识，为推进依法行政，建设法治政府营造良好的社会氛围。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三是加强其他重点人群</w:t>
      </w:r>
      <w:r>
        <w:rPr>
          <w:rFonts w:hint="eastAsia" w:ascii="仿宋_GB2312" w:eastAsia="仿宋_GB2312"/>
          <w:color w:val="000000"/>
          <w:spacing w:val="0"/>
          <w:sz w:val="32"/>
          <w:szCs w:val="32"/>
          <w:lang w:eastAsia="zh-CN"/>
        </w:rPr>
        <w:t>包括</w:t>
      </w:r>
      <w:r>
        <w:rPr>
          <w:rFonts w:hint="eastAsia" w:ascii="仿宋_GB2312" w:eastAsia="仿宋_GB2312"/>
          <w:color w:val="000000"/>
          <w:spacing w:val="0"/>
          <w:sz w:val="32"/>
          <w:szCs w:val="32"/>
        </w:rPr>
        <w:t>青少年、</w:t>
      </w:r>
      <w:r>
        <w:rPr>
          <w:rFonts w:hint="eastAsia" w:ascii="仿宋_GB2312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妇女儿童、残疾人、老年人、农民工、</w:t>
      </w:r>
      <w:r>
        <w:rPr>
          <w:rFonts w:hint="eastAsia" w:ascii="仿宋_GB2312" w:eastAsia="仿宋_GB2312"/>
          <w:color w:val="000000"/>
          <w:spacing w:val="0"/>
          <w:sz w:val="32"/>
          <w:szCs w:val="32"/>
        </w:rPr>
        <w:t>企业经营管理人员、</w:t>
      </w:r>
      <w:r>
        <w:rPr>
          <w:rFonts w:hint="eastAsia" w:ascii="仿宋_GB2312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网格员</w:t>
      </w:r>
      <w:r>
        <w:rPr>
          <w:rFonts w:hint="eastAsia" w:ascii="仿宋_GB2312" w:eastAsia="仿宋_GB2312"/>
          <w:color w:val="000000"/>
          <w:spacing w:val="0"/>
          <w:sz w:val="32"/>
          <w:szCs w:val="32"/>
          <w:lang w:eastAsia="zh-CN"/>
        </w:rPr>
        <w:t>、基层群众（社区矫正对象、刑满释放人员、涉毒、涉邪人员）等</w:t>
      </w:r>
      <w:r>
        <w:rPr>
          <w:rFonts w:hint="eastAsia" w:ascii="仿宋_GB2312" w:eastAsia="仿宋_GB2312"/>
          <w:color w:val="000000"/>
          <w:spacing w:val="0"/>
          <w:sz w:val="32"/>
          <w:szCs w:val="32"/>
        </w:rPr>
        <w:t>，全面实施公民法治素养提升行动</w:t>
      </w:r>
      <w:r>
        <w:rPr>
          <w:rFonts w:hint="eastAsia" w:ascii="仿宋_GB2312" w:eastAsia="仿宋_GB2312"/>
          <w:color w:val="000000"/>
          <w:spacing w:val="0"/>
          <w:sz w:val="32"/>
          <w:szCs w:val="32"/>
          <w:lang w:eastAsia="zh-CN"/>
        </w:rPr>
        <w:t>，分步骤、有重点地持续推进，不断提升全体公民法治意识和法治素养。四是</w:t>
      </w:r>
      <w:r>
        <w:rPr>
          <w:rFonts w:hint="eastAsia" w:ascii="仿宋_GB2312" w:eastAsia="仿宋_GB2312"/>
          <w:color w:val="000000"/>
          <w:spacing w:val="0"/>
          <w:sz w:val="32"/>
          <w:szCs w:val="32"/>
        </w:rPr>
        <w:t>持续推进通过</w:t>
      </w:r>
      <w:r>
        <w:rPr>
          <w:rFonts w:ascii="仿宋_GB2312" w:eastAsia="仿宋_GB2312"/>
          <w:color w:val="000000"/>
          <w:spacing w:val="0"/>
          <w:sz w:val="32"/>
          <w:szCs w:val="32"/>
        </w:rPr>
        <w:t>e</w:t>
      </w:r>
      <w:r>
        <w:rPr>
          <w:rFonts w:hint="eastAsia" w:ascii="仿宋_GB2312" w:eastAsia="仿宋_GB2312"/>
          <w:color w:val="000000"/>
          <w:spacing w:val="0"/>
          <w:sz w:val="32"/>
          <w:szCs w:val="32"/>
        </w:rPr>
        <w:t>三明、</w:t>
      </w:r>
      <w:r>
        <w:rPr>
          <w:rFonts w:hint="eastAsia" w:ascii="仿宋_GB2312" w:eastAsia="仿宋_GB2312"/>
          <w:color w:val="000000"/>
          <w:spacing w:val="0"/>
          <w:sz w:val="32"/>
          <w:szCs w:val="32"/>
          <w:lang w:val="en-US" w:eastAsia="zh-CN"/>
        </w:rPr>
        <w:t>12345、</w:t>
      </w:r>
      <w:r>
        <w:rPr>
          <w:rFonts w:ascii="仿宋_GB2312" w:eastAsia="仿宋_GB2312"/>
          <w:color w:val="000000"/>
          <w:spacing w:val="0"/>
          <w:sz w:val="32"/>
          <w:szCs w:val="32"/>
        </w:rPr>
        <w:t>12348</w:t>
      </w:r>
      <w:r>
        <w:rPr>
          <w:rFonts w:hint="eastAsia" w:ascii="仿宋_GB2312" w:eastAsia="仿宋_GB2312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一站式诉讼服务中心</w:t>
      </w:r>
      <w:r>
        <w:rPr>
          <w:rFonts w:hint="eastAsia" w:ascii="仿宋_GB2312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等平台</w:t>
      </w:r>
      <w:r>
        <w:rPr>
          <w:rFonts w:hint="eastAsia" w:ascii="仿宋_GB2312" w:eastAsia="仿宋_GB2312"/>
          <w:color w:val="000000"/>
          <w:spacing w:val="0"/>
          <w:sz w:val="32"/>
          <w:szCs w:val="32"/>
        </w:rPr>
        <w:t>为</w:t>
      </w:r>
      <w:r>
        <w:rPr>
          <w:rFonts w:hint="eastAsia" w:ascii="仿宋_GB2312" w:eastAsia="仿宋_GB2312"/>
          <w:color w:val="000000"/>
          <w:spacing w:val="0"/>
          <w:sz w:val="32"/>
          <w:szCs w:val="32"/>
          <w:lang w:eastAsia="zh-CN"/>
        </w:rPr>
        <w:t>群众</w:t>
      </w:r>
      <w:r>
        <w:rPr>
          <w:rFonts w:hint="eastAsia" w:ascii="仿宋_GB2312" w:eastAsia="仿宋_GB2312"/>
          <w:color w:val="000000"/>
          <w:spacing w:val="0"/>
          <w:sz w:val="32"/>
          <w:szCs w:val="32"/>
        </w:rPr>
        <w:t>提供</w:t>
      </w:r>
      <w:r>
        <w:rPr>
          <w:rFonts w:hint="eastAsia" w:ascii="仿宋_GB2312" w:eastAsia="仿宋_GB2312"/>
          <w:color w:val="000000"/>
          <w:spacing w:val="0"/>
          <w:sz w:val="32"/>
          <w:szCs w:val="32"/>
          <w:lang w:eastAsia="zh-CN"/>
        </w:rPr>
        <w:t>高效</w:t>
      </w:r>
      <w:r>
        <w:rPr>
          <w:rFonts w:hint="eastAsia" w:ascii="仿宋_GB2312" w:eastAsia="仿宋_GB2312"/>
          <w:color w:val="000000"/>
          <w:spacing w:val="0"/>
          <w:sz w:val="32"/>
          <w:szCs w:val="32"/>
        </w:rPr>
        <w:t>便捷法律服务</w:t>
      </w:r>
      <w:r>
        <w:rPr>
          <w:rFonts w:hint="eastAsia" w:ascii="仿宋_GB2312" w:eastAsia="仿宋_GB2312"/>
          <w:color w:val="000000"/>
          <w:spacing w:val="0"/>
          <w:sz w:val="32"/>
          <w:szCs w:val="32"/>
          <w:lang w:eastAsia="zh-CN"/>
        </w:rPr>
        <w:t>同时开展普法宣传</w:t>
      </w:r>
      <w:r>
        <w:rPr>
          <w:rFonts w:hint="eastAsia" w:ascii="仿宋_GB2312" w:eastAsia="仿宋_GB2312"/>
          <w:color w:val="000000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（三）普法责任制有效落实。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一是树牢法治理念，加快构建职责明确、依法行政的政府治理体系。深化“八五”普法工作，促进基层民主法治，在全社会形成崇尚法治、践行法治的良好氛围。</w:t>
      </w:r>
      <w:r>
        <w:rPr>
          <w:rFonts w:hint="eastAsia" w:ascii="仿宋_GB2312" w:hAnsi="仿宋_GB2312" w:eastAsia="仿宋_GB2312" w:cs="仿宋_GB2312"/>
          <w:sz w:val="32"/>
          <w:szCs w:val="32"/>
        </w:rPr>
        <w:t>依托乡村两级新时代文明实践站，推动“谁执法（谁服务）谁普法”责任制落实，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严格各站所围绕岗位工作职责，结合“4.15”“6.26”“12. 4”等重点时节，持续开展“法律六进”活动，进一步强化各类人员的尊法、学法、守法、用法力度，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切实</w:t>
      </w:r>
      <w:r>
        <w:rPr>
          <w:rFonts w:hint="eastAsia" w:ascii="仿宋_GB2312" w:hAnsi="仿宋_GB2312" w:eastAsia="仿宋_GB2312" w:cs="仿宋_GB2312"/>
          <w:sz w:val="32"/>
          <w:szCs w:val="32"/>
        </w:rPr>
        <w:t>把普法工作落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深落实。二是</w:t>
      </w:r>
      <w:r>
        <w:rPr>
          <w:rFonts w:hint="eastAsia" w:ascii="仿宋_GB2312" w:eastAsia="仿宋_GB2312"/>
          <w:b w:val="0"/>
          <w:bCs/>
          <w:color w:val="000000"/>
          <w:spacing w:val="0"/>
          <w:sz w:val="32"/>
          <w:szCs w:val="32"/>
          <w:lang w:eastAsia="zh-CN"/>
        </w:rPr>
        <w:t>进一步</w:t>
      </w:r>
      <w:r>
        <w:rPr>
          <w:rFonts w:hint="eastAsia" w:ascii="仿宋_GB2312" w:eastAsia="仿宋_GB2312"/>
          <w:b w:val="0"/>
          <w:bCs/>
          <w:color w:val="000000"/>
          <w:spacing w:val="0"/>
          <w:sz w:val="32"/>
          <w:szCs w:val="32"/>
        </w:rPr>
        <w:t>发挥工会、共青团、妇联等群团组织</w:t>
      </w:r>
      <w:r>
        <w:rPr>
          <w:rFonts w:hint="eastAsia" w:ascii="仿宋_GB2312" w:eastAsia="仿宋_GB2312"/>
          <w:color w:val="000000"/>
          <w:spacing w:val="0"/>
          <w:sz w:val="32"/>
          <w:szCs w:val="32"/>
        </w:rPr>
        <w:t>和社会组织在普法中的作用，畅通和规范市场主体、社会工作者和志愿者等参与普法的途径。</w:t>
      </w:r>
      <w:r>
        <w:rPr>
          <w:rFonts w:hint="eastAsia" w:ascii="仿宋_GB2312" w:eastAsia="仿宋_GB2312"/>
          <w:color w:val="000000"/>
          <w:spacing w:val="0"/>
          <w:sz w:val="32"/>
          <w:szCs w:val="32"/>
          <w:lang w:eastAsia="zh-CN"/>
        </w:rPr>
        <w:t>加强</w:t>
      </w:r>
      <w:r>
        <w:rPr>
          <w:rFonts w:hint="eastAsia" w:ascii="仿宋_GB2312" w:eastAsia="仿宋_GB2312"/>
          <w:color w:val="000000"/>
          <w:spacing w:val="0"/>
          <w:sz w:val="32"/>
          <w:szCs w:val="32"/>
        </w:rPr>
        <w:t>普法志愿队伍</w:t>
      </w:r>
      <w:r>
        <w:rPr>
          <w:rFonts w:hint="eastAsia" w:ascii="仿宋_GB2312" w:eastAsia="仿宋_GB2312"/>
          <w:color w:val="000000"/>
          <w:spacing w:val="0"/>
          <w:sz w:val="32"/>
          <w:szCs w:val="32"/>
          <w:lang w:eastAsia="zh-CN"/>
        </w:rPr>
        <w:t>、党员志愿服务队、网格员队伍</w:t>
      </w:r>
      <w:r>
        <w:rPr>
          <w:rFonts w:hint="eastAsia" w:ascii="仿宋_GB2312" w:eastAsia="仿宋_GB2312"/>
          <w:color w:val="000000"/>
          <w:spacing w:val="0"/>
          <w:sz w:val="32"/>
          <w:szCs w:val="32"/>
        </w:rPr>
        <w:t>建设，</w:t>
      </w:r>
      <w:r>
        <w:rPr>
          <w:rFonts w:hint="eastAsia" w:ascii="仿宋_GB2312" w:eastAsia="仿宋_GB2312"/>
          <w:color w:val="000000"/>
          <w:spacing w:val="0"/>
          <w:sz w:val="32"/>
          <w:szCs w:val="32"/>
          <w:lang w:eastAsia="zh-CN"/>
        </w:rPr>
        <w:t>积极倡导</w:t>
      </w:r>
      <w:r>
        <w:rPr>
          <w:rFonts w:hint="eastAsia" w:ascii="仿宋_GB2312" w:eastAsia="仿宋_GB2312"/>
          <w:color w:val="000000"/>
          <w:spacing w:val="0"/>
          <w:sz w:val="32"/>
          <w:szCs w:val="32"/>
        </w:rPr>
        <w:t>国家工作人员、教师、专业社会工作者</w:t>
      </w:r>
      <w:r>
        <w:rPr>
          <w:rFonts w:hint="eastAsia" w:ascii="仿宋_GB2312" w:eastAsia="仿宋_GB2312"/>
          <w:color w:val="000000"/>
          <w:spacing w:val="0"/>
          <w:sz w:val="32"/>
          <w:szCs w:val="32"/>
          <w:lang w:eastAsia="zh-CN"/>
        </w:rPr>
        <w:t>、在校或返乡大学生</w:t>
      </w:r>
      <w:r>
        <w:rPr>
          <w:rFonts w:hint="eastAsia" w:ascii="仿宋_GB2312" w:eastAsia="仿宋_GB2312"/>
          <w:color w:val="000000"/>
          <w:spacing w:val="0"/>
          <w:sz w:val="32"/>
          <w:szCs w:val="32"/>
        </w:rPr>
        <w:t>等加入普法志愿行列，广泛发动热心普法工作的政法机关退休干部</w:t>
      </w:r>
      <w:r>
        <w:rPr>
          <w:rFonts w:hint="eastAsia" w:ascii="仿宋_GB2312" w:eastAsia="仿宋_GB2312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pacing w:val="0"/>
          <w:sz w:val="32"/>
          <w:szCs w:val="32"/>
        </w:rPr>
        <w:t>老党员、老</w:t>
      </w:r>
      <w:r>
        <w:rPr>
          <w:rFonts w:hint="eastAsia" w:ascii="仿宋_GB2312" w:eastAsia="仿宋_GB2312"/>
          <w:color w:val="000000"/>
          <w:spacing w:val="0"/>
          <w:sz w:val="32"/>
          <w:szCs w:val="32"/>
          <w:lang w:eastAsia="zh-CN"/>
        </w:rPr>
        <w:t>教师</w:t>
      </w:r>
      <w:r>
        <w:rPr>
          <w:rFonts w:hint="eastAsia" w:ascii="仿宋_GB2312" w:eastAsia="仿宋_GB2312"/>
          <w:color w:val="000000"/>
          <w:spacing w:val="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pacing w:val="0"/>
          <w:sz w:val="32"/>
          <w:szCs w:val="32"/>
          <w:lang w:eastAsia="zh-CN"/>
        </w:rPr>
        <w:t>企业主、个体户及其他</w:t>
      </w:r>
      <w:r>
        <w:rPr>
          <w:rFonts w:hint="eastAsia" w:ascii="仿宋_GB2312" w:eastAsia="仿宋_GB2312"/>
          <w:color w:val="000000"/>
          <w:spacing w:val="0"/>
          <w:sz w:val="32"/>
          <w:szCs w:val="32"/>
        </w:rPr>
        <w:t>社会力量参与普法志愿服务</w:t>
      </w:r>
      <w:r>
        <w:rPr>
          <w:rFonts w:hint="eastAsia" w:ascii="仿宋_GB2312" w:eastAsia="仿宋_GB2312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pacing w:val="0"/>
          <w:sz w:val="32"/>
          <w:szCs w:val="32"/>
        </w:rPr>
        <w:t>推进普法志愿者法治文化基层行活动。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A496B3-C370-4EFB-80BC-6D09C636AB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4A12FC2-A392-4EDE-A72B-8CC30DD3E9F0}"/>
  </w:font>
  <w:font w:name="方正仿宋_GBK">
    <w:altName w:val="宋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27F03AE-84CF-4425-8544-FA132F461CC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46984937-4B41-44B6-B661-468D647A1EC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25EA8AB-6DB5-4F45-9824-FCDD47E51A3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MDkwM2E4MWEzOTBhNWVlMjI3ZmNhZGEwYTk2NDQifQ=="/>
  </w:docVars>
  <w:rsids>
    <w:rsidRoot w:val="00000000"/>
    <w:rsid w:val="6F10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2022-12-30T01:34:43Z</dcterms:created>
  <dc:creator>Hubin</dc:creator>
  <cp:lastModifiedBy>胡某</cp:lastModifiedBy>
  <dcterms:modified xsi:type="dcterms:W3CDTF">2022-12-30T07:19:51Z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096CAD14629144719261B1C73BE1C9FE</vt:lpwstr>
  </property>
</Properties>
</file>