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hAnsi="宋体" w:eastAsia="宋体" w:cs="宋体"/>
          <w:i w:val="0"/>
          <w:caps w:val="0"/>
          <w:color w:val="000000"/>
          <w:spacing w:val="0"/>
          <w:sz w:val="44"/>
          <w:szCs w:val="44"/>
          <w:shd w:val="clear" w:color="auto" w:fill="FFFFFF"/>
        </w:rPr>
      </w:pPr>
      <w:r>
        <w:rPr>
          <w:rFonts w:hint="eastAsia" w:ascii="宋体" w:hAnsi="宋体" w:eastAsia="宋体" w:cs="宋体"/>
          <w:i w:val="0"/>
          <w:caps w:val="0"/>
          <w:color w:val="000000"/>
          <w:spacing w:val="0"/>
          <w:sz w:val="44"/>
          <w:szCs w:val="44"/>
          <w:shd w:val="clear" w:color="auto" w:fill="FFFFFF"/>
        </w:rPr>
        <w:t>泰宁县工业和信息化局</w:t>
      </w:r>
    </w:p>
    <w:p>
      <w:pPr>
        <w:ind w:firstLine="880" w:firstLineChars="200"/>
        <w:jc w:val="center"/>
        <w:rPr>
          <w:rFonts w:hint="eastAsia" w:ascii="宋体" w:hAnsi="宋体" w:eastAsia="宋体" w:cs="宋体"/>
          <w:i w:val="0"/>
          <w:caps w:val="0"/>
          <w:color w:val="000000"/>
          <w:spacing w:val="0"/>
          <w:sz w:val="44"/>
          <w:szCs w:val="44"/>
          <w:shd w:val="clear" w:color="auto" w:fill="FFFFFF"/>
        </w:rPr>
      </w:pPr>
      <w:r>
        <w:rPr>
          <w:rFonts w:hint="eastAsia" w:ascii="宋体" w:hAnsi="宋体" w:eastAsia="宋体" w:cs="宋体"/>
          <w:i w:val="0"/>
          <w:caps w:val="0"/>
          <w:color w:val="000000"/>
          <w:spacing w:val="0"/>
          <w:sz w:val="44"/>
          <w:szCs w:val="44"/>
          <w:shd w:val="clear" w:color="auto" w:fill="FFFFFF"/>
        </w:rPr>
        <w:t>202</w:t>
      </w:r>
      <w:r>
        <w:rPr>
          <w:rFonts w:hint="eastAsia" w:ascii="宋体" w:hAnsi="宋体" w:cs="宋体"/>
          <w:i w:val="0"/>
          <w:caps w:val="0"/>
          <w:color w:val="000000"/>
          <w:spacing w:val="0"/>
          <w:sz w:val="44"/>
          <w:szCs w:val="44"/>
          <w:shd w:val="clear" w:color="auto" w:fill="FFFFFF"/>
          <w:lang w:val="en-US" w:eastAsia="zh-CN"/>
        </w:rPr>
        <w:t>1</w:t>
      </w:r>
      <w:r>
        <w:rPr>
          <w:rFonts w:hint="eastAsia" w:ascii="宋体" w:hAnsi="宋体" w:eastAsia="宋体" w:cs="宋体"/>
          <w:i w:val="0"/>
          <w:caps w:val="0"/>
          <w:color w:val="000000"/>
          <w:spacing w:val="0"/>
          <w:sz w:val="44"/>
          <w:szCs w:val="44"/>
          <w:shd w:val="clear" w:color="auto" w:fill="FFFFFF"/>
        </w:rPr>
        <w:t>年度法治政府建设工作报告</w:t>
      </w:r>
    </w:p>
    <w:p>
      <w:pPr>
        <w:ind w:firstLine="640" w:firstLineChars="200"/>
        <w:rPr>
          <w:rFonts w:hint="default"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rPr>
        <w:t>根据泰宁县委依法治县办文件要求，</w:t>
      </w:r>
      <w:r>
        <w:rPr>
          <w:rFonts w:hint="default" w:ascii="仿宋_GB2312" w:hAnsi="宋体" w:eastAsia="仿宋_GB2312" w:cs="仿宋_GB2312"/>
          <w:i w:val="0"/>
          <w:caps w:val="0"/>
          <w:color w:val="000000"/>
          <w:spacing w:val="0"/>
          <w:sz w:val="32"/>
          <w:szCs w:val="32"/>
          <w:shd w:val="clear" w:color="auto" w:fill="FFFFFF"/>
        </w:rPr>
        <w:t>我局</w:t>
      </w:r>
      <w:r>
        <w:rPr>
          <w:rFonts w:hint="eastAsia" w:ascii="仿宋_GB2312" w:hAnsi="宋体" w:eastAsia="仿宋_GB2312" w:cs="仿宋_GB2312"/>
          <w:i w:val="0"/>
          <w:caps w:val="0"/>
          <w:color w:val="000000"/>
          <w:spacing w:val="0"/>
          <w:sz w:val="32"/>
          <w:szCs w:val="32"/>
          <w:shd w:val="clear" w:color="auto" w:fill="FFFFFF"/>
        </w:rPr>
        <w:t>认真履行法治建设职责，完善法制工作机制，深入开展法治宣传教育和法治实践，努力提高依法行政意识，</w:t>
      </w:r>
      <w:r>
        <w:rPr>
          <w:rFonts w:hint="eastAsia" w:ascii="仿宋_GB2312" w:hAnsi="宋体" w:eastAsia="仿宋_GB2312" w:cs="仿宋_GB2312"/>
          <w:i w:val="0"/>
          <w:caps w:val="0"/>
          <w:color w:val="000000"/>
          <w:spacing w:val="0"/>
          <w:sz w:val="32"/>
          <w:szCs w:val="32"/>
          <w:shd w:val="clear" w:color="auto" w:fill="FFFFFF"/>
          <w:lang w:eastAsia="zh-CN"/>
        </w:rPr>
        <w:t>现将</w:t>
      </w:r>
      <w:r>
        <w:rPr>
          <w:rFonts w:hint="default" w:ascii="仿宋_GB2312" w:hAnsi="宋体" w:eastAsia="仿宋_GB2312" w:cs="仿宋_GB2312"/>
          <w:i w:val="0"/>
          <w:caps w:val="0"/>
          <w:color w:val="000000"/>
          <w:spacing w:val="0"/>
          <w:sz w:val="32"/>
          <w:szCs w:val="32"/>
          <w:shd w:val="clear" w:color="auto" w:fill="FFFFFF"/>
        </w:rPr>
        <w:t>推进法治政府建设主要工作情况</w:t>
      </w:r>
      <w:r>
        <w:rPr>
          <w:rFonts w:hint="eastAsia" w:ascii="仿宋_GB2312" w:hAnsi="宋体" w:eastAsia="仿宋_GB2312" w:cs="仿宋_GB2312"/>
          <w:i w:val="0"/>
          <w:caps w:val="0"/>
          <w:color w:val="000000"/>
          <w:spacing w:val="0"/>
          <w:sz w:val="32"/>
          <w:szCs w:val="32"/>
          <w:shd w:val="clear" w:color="auto" w:fill="FFFFFF"/>
          <w:lang w:eastAsia="zh-CN"/>
        </w:rPr>
        <w:t>汇报</w:t>
      </w:r>
      <w:r>
        <w:rPr>
          <w:rFonts w:hint="default" w:ascii="仿宋_GB2312" w:hAnsi="宋体" w:eastAsia="仿宋_GB2312" w:cs="仿宋_GB2312"/>
          <w:i w:val="0"/>
          <w:caps w:val="0"/>
          <w:color w:val="000000"/>
          <w:spacing w:val="0"/>
          <w:sz w:val="32"/>
          <w:szCs w:val="32"/>
          <w:shd w:val="clear" w:color="auto" w:fill="FFFFFF"/>
        </w:rPr>
        <w:t>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560"/>
        <w:jc w:val="both"/>
        <w:rPr>
          <w:rFonts w:hint="default" w:ascii="仿宋_GB2312" w:hAnsi="宋体"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sz w:val="32"/>
          <w:szCs w:val="32"/>
          <w:shd w:val="clear" w:color="auto" w:fill="FFFFFF"/>
          <w:lang w:eastAsia="zh-CN"/>
        </w:rPr>
        <w:t>完善机制，依法履职。</w:t>
      </w:r>
      <w:r>
        <w:rPr>
          <w:rFonts w:hint="eastAsia" w:ascii="仿宋_GB2312" w:hAnsi="宋体" w:eastAsia="仿宋_GB2312" w:cs="仿宋_GB2312"/>
          <w:i w:val="0"/>
          <w:caps w:val="0"/>
          <w:color w:val="000000"/>
          <w:spacing w:val="0"/>
          <w:kern w:val="2"/>
          <w:sz w:val="32"/>
          <w:szCs w:val="32"/>
          <w:shd w:val="clear" w:color="auto" w:fill="FFFFFF"/>
          <w:lang w:val="en-US" w:eastAsia="zh-CN" w:bidi="ar-SA"/>
        </w:rPr>
        <w:t>一是高度重视普法工作，坚持将法治政府建设贯穿于领导决策、目标考核、具体工作全过程，把普法工作当作依法治理的重要一环，建立以主要负责人为组长班子成员为副组长，各科室和直属单位负责人为成员的普法工作领导小组，统筹协调和全力推进普法工作。领导小组下设办公室，负责普法的日常工作，形成齐抓共管的领导体系和工作机制。二是参照市局权责清单</w:t>
      </w:r>
      <w:r>
        <w:rPr>
          <w:rFonts w:hint="default" w:ascii="仿宋_GB2312" w:hAnsi="宋体" w:eastAsia="仿宋_GB2312" w:cs="仿宋_GB2312"/>
          <w:i w:val="0"/>
          <w:caps w:val="0"/>
          <w:color w:val="000000"/>
          <w:spacing w:val="0"/>
          <w:kern w:val="2"/>
          <w:sz w:val="32"/>
          <w:szCs w:val="32"/>
          <w:shd w:val="clear" w:color="auto" w:fill="FFFFFF"/>
          <w:lang w:val="en-US" w:eastAsia="zh-CN" w:bidi="ar-SA"/>
        </w:rPr>
        <w:t>，制定我局权责清单，经县委编办、司法局等部门审核后公布，依法明确权责事项。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333333"/>
          <w:spacing w:val="0"/>
          <w:sz w:val="32"/>
          <w:szCs w:val="32"/>
          <w:shd w:val="clear" w:color="auto" w:fill="FFFFFF"/>
        </w:rPr>
        <w:t>二、</w:t>
      </w:r>
      <w:r>
        <w:rPr>
          <w:rFonts w:hint="eastAsia" w:ascii="黑体" w:hAnsi="宋体" w:eastAsia="黑体" w:cs="黑体"/>
          <w:i w:val="0"/>
          <w:caps w:val="0"/>
          <w:color w:val="333333"/>
          <w:spacing w:val="0"/>
          <w:sz w:val="32"/>
          <w:szCs w:val="32"/>
          <w:shd w:val="clear" w:color="auto" w:fill="FFFFFF"/>
          <w:lang w:eastAsia="zh-CN"/>
        </w:rPr>
        <w:t>组织学习</w:t>
      </w:r>
      <w:r>
        <w:rPr>
          <w:rFonts w:hint="eastAsia" w:ascii="黑体" w:hAnsi="宋体" w:eastAsia="黑体" w:cs="黑体"/>
          <w:i w:val="0"/>
          <w:caps w:val="0"/>
          <w:color w:val="333333"/>
          <w:spacing w:val="0"/>
          <w:sz w:val="32"/>
          <w:szCs w:val="32"/>
          <w:shd w:val="clear" w:color="auto" w:fill="FFFFFF"/>
        </w:rPr>
        <w:t>，提高素养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560"/>
        <w:jc w:val="both"/>
        <w:rPr>
          <w:rFonts w:hint="eastAsia" w:ascii="仿宋_GB2312" w:hAnsi="宋体" w:eastAsia="仿宋_GB2312" w:cs="仿宋_GB2312"/>
          <w:i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caps w:val="0"/>
          <w:color w:val="000000"/>
          <w:spacing w:val="0"/>
          <w:kern w:val="2"/>
          <w:sz w:val="32"/>
          <w:szCs w:val="32"/>
          <w:shd w:val="clear" w:color="auto" w:fill="FFFFFF"/>
          <w:lang w:val="en-US" w:eastAsia="zh-CN" w:bidi="ar-SA"/>
        </w:rPr>
        <w:t>一是坚持领导干部带头学，实现学法常态化、制度化。借助中心组学习、支部学习、“不忘初心、牢记使命”主题教育平台，多次组织全系统中层干部及时学习各级党委、政府关于法治政府建设工作和依法行政工作的要求，组织全体干部职工参加宪法专题考试及网上网下各类学法用法考试；同时组织行政审批人员、执法人员学习相关法律法规及相关政策文件，进一步增强依法执政、依法行政和依法决策的意识和能力。立足工作实际，制定《泰宁县工业和信息化局2021年普法依法治理工作要点》，并在工作中突出重点，狠抓落实，确保了我局的普法工作有序推进。全面落实“谁执法谁普法”的责任，推动普法工作“有人管、有人干、有人负责”。推行法治宣传教育工作领导责任制，建立完善了领导干部学法用法制度，重大事项决策合法性审查制度、政务公开制度等，各项制度的建立和完善，为我局法治宣传工作的顺利实施提供了有力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333333"/>
          <w:spacing w:val="0"/>
          <w:sz w:val="32"/>
          <w:szCs w:val="32"/>
          <w:shd w:val="clear" w:color="auto" w:fill="FFFFFF"/>
        </w:rPr>
        <w:t>三、规范执法，营造氛围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560"/>
        <w:jc w:val="both"/>
        <w:rPr>
          <w:rFonts w:hint="eastAsia" w:ascii="仿宋_GB2312" w:hAnsi="宋体" w:eastAsia="仿宋_GB2312" w:cs="仿宋_GB2312"/>
          <w:i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caps w:val="0"/>
          <w:color w:val="000000"/>
          <w:spacing w:val="0"/>
          <w:kern w:val="2"/>
          <w:sz w:val="32"/>
          <w:szCs w:val="32"/>
          <w:shd w:val="clear" w:color="auto" w:fill="FFFFFF"/>
          <w:lang w:val="en-US" w:eastAsia="zh-CN" w:bidi="ar-SA"/>
        </w:rPr>
        <w:t>严格按照行业监管法律法规和国务院有关深化行政审批制度改革的要求，进一步完善监管权力清单和责任清单，及时向社会公开，并实施动态管理，接受社会监督。持续推动“放管服”改革，对简政放权事项，加强事中事后监管，对新办场所主动靠前服务，做好开业前的指导，防止经营偏差。日常执法中严格遵守《行政处罚法》等规定程序执行，不自行、不扩大、不缩小执法范围。正确行使自由裁量权，严禁出现应罚不罚、避重就轻的情况，确保行政处罚自由裁量权的正确行使，杜绝处罚标准混乱甚至以罚代刑现象。通过张贴海报、发放宣传资料、推送微信、召开会议等形式多样的宣传活动，提高经营业主的守法意识。一是充分利用微信、短信等新媒体网上平台资源开展法治宣传，扩大宣传覆盖面；二是在重要法律法规颁布实施纪念日、节日等时间点，开展法律法规宣传。三是积极参加县安办组织开展的“安全生产法律法规宣传咨询日”活动，深入群众宣传行业安全知识；四是积极开展“124”国家宪法日主题活动，营造了浓厚的宪法宣传日的氛围；五是组织经营业主召开专题培训，宣讲相关法律法规，增强经营人员法制观念；六是执法人员开展入户面对面宣传，用简单明了的语言将相关法律知识传递给广大人民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333333"/>
          <w:spacing w:val="0"/>
          <w:sz w:val="32"/>
          <w:szCs w:val="32"/>
          <w:shd w:val="clear" w:color="auto" w:fill="FFFFFF"/>
          <w:lang w:eastAsia="zh-CN"/>
        </w:rPr>
        <w:t>四</w:t>
      </w:r>
      <w:r>
        <w:rPr>
          <w:rFonts w:hint="eastAsia" w:ascii="黑体" w:hAnsi="宋体" w:eastAsia="黑体" w:cs="黑体"/>
          <w:i w:val="0"/>
          <w:caps w:val="0"/>
          <w:color w:val="333333"/>
          <w:spacing w:val="0"/>
          <w:sz w:val="32"/>
          <w:szCs w:val="32"/>
          <w:shd w:val="clear" w:color="auto" w:fill="FFFFFF"/>
        </w:rPr>
        <w:t>、下步工作计划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560"/>
        <w:jc w:val="both"/>
        <w:rPr>
          <w:rFonts w:hint="eastAsia" w:ascii="仿宋_GB2312" w:hAnsi="宋体" w:eastAsia="仿宋_GB2312" w:cs="仿宋_GB2312"/>
          <w:i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caps w:val="0"/>
          <w:color w:val="000000"/>
          <w:spacing w:val="0"/>
          <w:kern w:val="2"/>
          <w:sz w:val="32"/>
          <w:szCs w:val="32"/>
          <w:shd w:val="clear" w:color="auto" w:fill="FFFFFF"/>
          <w:lang w:val="en-US" w:eastAsia="zh-CN" w:bidi="ar-SA"/>
        </w:rPr>
        <w:t>我局将进一步完善法治政府建设工作，推进普法工作常态化规范化；进一步加大教育培训力度，加强法规制度建设，强化执法服务监督，着力提高全局干部职工的法治能力、改革创新能力；认真总结普法工作的成功经验，并逐步形成制度，使普法工作有序深入开展。推进普法工作的制度化、规范化建设，重视法治宣传队伍建设，不断提高执法人员的政治、法律素质和业务能力。</w:t>
      </w:r>
    </w:p>
    <w:p>
      <w:pPr>
        <w:keepNext w:val="0"/>
        <w:keepLines w:val="0"/>
        <w:widowControl/>
        <w:suppressLineNumbers w:val="0"/>
        <w:spacing w:before="0" w:beforeAutospacing="0" w:after="0" w:afterAutospacing="0" w:line="400" w:lineRule="atLeast"/>
        <w:ind w:left="0" w:right="0" w:firstLine="0"/>
        <w:jc w:val="both"/>
        <w:rPr>
          <w:rFonts w:hint="eastAsia" w:ascii="宋体" w:hAnsi="宋体" w:eastAsia="宋体" w:cs="宋体"/>
          <w:i w:val="0"/>
          <w:caps w:val="0"/>
          <w:color w:val="000000"/>
          <w:spacing w:val="0"/>
          <w:sz w:val="24"/>
          <w:szCs w:val="24"/>
        </w:rPr>
      </w:pPr>
      <w:r>
        <w:rPr>
          <w:rFonts w:hint="eastAsia" w:ascii="仿宋" w:hAnsi="仿宋" w:eastAsia="仿宋" w:cs="仿宋"/>
          <w:i w:val="0"/>
          <w:caps w:val="0"/>
          <w:color w:val="000000"/>
          <w:spacing w:val="0"/>
          <w:kern w:val="0"/>
          <w:sz w:val="32"/>
          <w:szCs w:val="32"/>
          <w:lang w:val="en-US" w:eastAsia="zh-CN" w:bidi="ar"/>
        </w:rPr>
        <w:t> </w:t>
      </w:r>
    </w:p>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560" w:leftChars="0" w:right="0" w:rightChars="0"/>
        <w:jc w:val="both"/>
        <w:rPr>
          <w:rFonts w:hint="default" w:ascii="仿宋_GB2312" w:hAnsi="宋体" w:eastAsia="仿宋_GB2312" w:cs="仿宋_GB2312"/>
          <w:i w:val="0"/>
          <w:caps w:val="0"/>
          <w:color w:val="000000"/>
          <w:spacing w:val="0"/>
          <w:kern w:val="2"/>
          <w:sz w:val="32"/>
          <w:szCs w:val="32"/>
          <w:shd w:val="clear" w:color="auto" w:fill="FFFFFF"/>
          <w:lang w:val="en-US" w:eastAsia="zh-CN" w:bidi="ar-SA"/>
        </w:rPr>
      </w:pPr>
      <w:bookmarkStart w:id="0" w:name="_GoBack"/>
      <w:bookmarkEnd w:id="0"/>
    </w:p>
    <w:p/>
    <w:sectPr>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629E8"/>
    <w:multiLevelType w:val="singleLevel"/>
    <w:tmpl w:val="56C629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A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2022-02-23T09:31:53Z</dcterms:created>
  <dc:creator>Administrator</dc:creator>
  <cp:lastModifiedBy>江</cp:lastModifiedBy>
  <dcterms:modified xsi:type="dcterms:W3CDTF">2022-02-23T09:32:20Z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B15DA9B4C27A4112BC5280DC63EFDE28</vt:lpwstr>
  </property>
</Properties>
</file>