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FD10E">
      <w:pPr>
        <w:spacing w:before="380" w:after="140" w:line="288" w:lineRule="auto"/>
        <w:ind w:left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heading_0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泰宁县市场监督管理局行政执法行为规范（试行）</w:t>
      </w:r>
      <w:bookmarkEnd w:id="0"/>
    </w:p>
    <w:p w14:paraId="3C994ACD">
      <w:pPr>
        <w:spacing w:before="120" w:after="120" w:line="288" w:lineRule="auto"/>
        <w:ind w:left="0"/>
        <w:jc w:val="center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（泰宁市监规〔XXXX〕X 号）</w:t>
      </w:r>
    </w:p>
    <w:p w14:paraId="54869CE5">
      <w:pPr>
        <w:spacing w:before="320" w:after="120" w:line="288" w:lineRule="auto"/>
        <w:ind w:left="0"/>
        <w:jc w:val="left"/>
        <w:outlineLvl w:val="1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1" w:name="heading_1"/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第一章 总则</w:t>
      </w:r>
      <w:bookmarkEnd w:id="1"/>
    </w:p>
    <w:p w14:paraId="3F5C4C04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第一条【制定目的与依据】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为深入推进市场监管执法队伍标准化规范化建设，严格约束行政执法行为，促进严格规范公正文明执法，树立务实清廉、执法为民的市场监管执法队伍形象，维护行政执法公信力与法定权威，切实保护公民、法人和其他组织的合法权益。依据《中华人民共和国行政处罚法》《中华人民共和国行政强制法》《市场监督管理行政处罚程序规定》等法律、法规、规章以及市场监管总局执法行为相关工作要求，结合泰宁县市场监管工作实际，制定本规范。</w:t>
      </w:r>
    </w:p>
    <w:p w14:paraId="400E3B99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第二条【适用范围】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本规范适用于泰宁县市场监督管理局（含派出机构）持有有效行政执法证件的执法人员开展的日常监督检查、案件调查取证、行政处罚办理、行政强制实施、投诉举报处置等全部行政执法活动。</w:t>
      </w:r>
    </w:p>
    <w:p w14:paraId="687612A3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临时聘用人员</w:t>
      </w: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不得独立开展任何行政执法工作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，仅可在持证执法人员全程在场、指挥监督下，承担资料整理、现场记录、信息采集等事务性辅助工作，不得实施立案、调查取证、作出执法决定、送达法律文书等直接影响行政相对人权利义务的执法行为。</w:t>
      </w:r>
    </w:p>
    <w:p w14:paraId="25103536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第三条【指导思想】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行政执法工作坚持以习近平新时代中国特色社会主义思想为指导，全面贯彻习近平法治思想，坚持党的全面领导，牢固树立执法为民理念，恪守依法行政底线，强化廉洁自律，统筹法理情统一，努力实现政治效果、法律效果、社会效果有机统一。</w:t>
      </w:r>
    </w:p>
    <w:p w14:paraId="62CD0180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第四条【执法基本原则】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市场监管行政执法应当遵循</w:t>
      </w: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职权法定、公正公开、程序正当、高效便民、权责统一、过罚相当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原则。</w:t>
      </w:r>
    </w:p>
    <w:p w14:paraId="23AAC2FD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第五条【履职保护】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本局建立健全行政执法人员依法履职保护机制，排除非正常因素对正常执法工作的不当干扰，维护执法权威，保障执法人员依法正常履职。</w:t>
      </w:r>
    </w:p>
    <w:p w14:paraId="24775345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第六条【文件效力与评估】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本文件属于本局行政规范性文件，试行有效期</w:t>
      </w: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2 年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，自施行之日起届满 2 年自动失效。</w:t>
      </w:r>
    </w:p>
    <w:p w14:paraId="1B8A8E04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本规范施行期间，法律、法规、规章或者上级机关另有新规定的，从其规定。</w:t>
      </w:r>
    </w:p>
    <w:p w14:paraId="6AA4F69B">
      <w:pPr>
        <w:spacing w:before="320" w:after="120" w:line="288" w:lineRule="auto"/>
        <w:ind w:left="0"/>
        <w:jc w:val="left"/>
        <w:outlineLvl w:val="1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2" w:name="heading_2"/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第二章 执法基本规范</w:t>
      </w:r>
      <w:bookmarkEnd w:id="2"/>
    </w:p>
    <w:p w14:paraId="73B048D8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第七条【执法资格】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行政执法人员应当具备市场监管执法必需的法律知识与专业技能，经考试合格、依法取得行政执法证件，方可开展行政执法。未取得有效行政执法证件人员，不得从事行政执法活动。</w:t>
      </w:r>
    </w:p>
    <w:p w14:paraId="76462011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第八条【亮证与人数要求】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开展行政执法活动，执法人员不得少于二人，法律另有规定除外；应当主动出示行政执法证件，向当事人表明执法身份。</w:t>
      </w:r>
    </w:p>
    <w:p w14:paraId="1CE9A6B2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第九条【职权边界】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严格坚持职权法定，必须在法定职权、法定管辖范围内开展执法。严禁无权执法、越权履职、无证上岗、转借执法证件；严禁临时聘用人员独立实施行政执法行为。</w:t>
      </w:r>
    </w:p>
    <w:p w14:paraId="3FDC1C32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第十条【禁止违法执法】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行政执法应当以法律规定和客观事实为根本依据。严禁乱收费、滥罚款、随意检查、违规查封扣押；严禁跨区域违规执法、逐利式、趋利性执法；严禁下达或者变相下达罚没考核指标；对收费、罚没财物，严禁截留、坐收坐支、私分、变相私分、占用或者挪用。</w:t>
      </w:r>
    </w:p>
    <w:p w14:paraId="76715CBB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第十一条【落实三项制度，保障当事人权利】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严格执行法定办案程序，全面落实行政执法公示、执法全过程记录、重大执法决定法制审核三项制度。充分保障当事人、利害关系人的知情权、参与权、陈述申辩权、听证权、申请回避权、救济权以及依法申请国家赔偿等法定权利，不得限制或者非法剥夺上述权利。</w:t>
      </w:r>
    </w:p>
    <w:p w14:paraId="7EBD4F8C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第十二条【公正行使自由裁量权】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平等对待行政相对人，公正公允行使行政执法权力。行使行政处罚自由裁量权应当符合立法目的，排除无关因素干扰，优先选择对当事人权益损害最小的措施。禁止选择性执法、差别对待、随意执法；不得机械套用裁量基准，防范过度执法、“一刀切” 式监管，做到过罚相当。</w:t>
      </w:r>
    </w:p>
    <w:p w14:paraId="77A16929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第十三条【柔性执法与普法】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</w:t>
      </w:r>
      <w:r>
        <w:rPr>
          <w:rFonts w:hint="eastAsia" w:ascii="国标仿宋-GB/T 2312" w:hAnsi="国标仿宋-GB/T 2312" w:eastAsia="国标仿宋-GB/T 2312" w:cs="国标仿宋-GB/T 2312"/>
          <w:color w:val="FF0000"/>
          <w:sz w:val="32"/>
          <w:szCs w:val="32"/>
        </w:rPr>
        <w:t>统筹行政执法与帮扶服务，推行精准监管，强化执法后指导帮扶。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综合运用说服教育、劝导警示、行政约谈、信息公示等柔性监管方式。落实 “谁执法谁普法” 责任制，做好释法说理，认真倾听群众诉求，耐心解答疑问。不得随意干扰市场主体正常生产经营秩序；不得漠视企业、群众合理诉求与现实困难；处置社会关注事项不得态度敷衍、回避核心问题。</w:t>
      </w:r>
    </w:p>
    <w:p w14:paraId="68738525">
      <w:pPr>
        <w:spacing w:before="320" w:after="120" w:line="288" w:lineRule="auto"/>
        <w:ind w:left="0"/>
        <w:jc w:val="left"/>
        <w:outlineLvl w:val="1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3" w:name="heading_3"/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第三章 作风纪律规范</w:t>
      </w:r>
      <w:bookmarkEnd w:id="3"/>
    </w:p>
    <w:p w14:paraId="583F4FB4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第十四条【八个严禁纪律】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行政执法人员严格遵守以下 “八个严禁” 纪律要求：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（一）严禁逾越法定权限、违反法定程序，随意开展执法；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（二）严禁徇私偏袒，滥用自由裁量权，实施选择性执法；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（三）严禁吃拿卡要，以处罚代替监管，实施趋利执法；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（四）严禁处罚畸轻畸重、处罚与违法情节不相适应，机械办案；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（五）严禁只处罚不督促整改，以罚代管，简单化处置问题；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（六）严禁接到线索不予核查、案件积压搁置，消极怠于履职；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（七）严禁言语态度恶劣，训斥、恐吓行政相对人，粗暴执法；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（八）严禁诱导设套、欺骗当事人，实施钓鱼执法。</w:t>
      </w:r>
    </w:p>
    <w:p w14:paraId="5C4EFD9E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第十五条【十个不得约束】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行政执法人员严格执行 “十个不得” 约束规定：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（一）不得借办案名义随意干扰企业正常生产经营活动；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（二）不得私自保管、处置、占用罚没财物以及查封扣押物品；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（三）不得泄露案件涉及的国家秘密、商业秘密、个人隐私、举报人信息等应当保密的内容；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（四）不得私下与案件当事人、利害关系人进行不正当接触交往；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（五）不得向涉案对象通风报信，帮助隐匿证据、规避法律责任；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（六）不得利用岗位职权谋取私利，为亲属或者其他人员经商办企业提供便利条件；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（七）不得接受当事人、利害关系人安排的宴请、旅游、娱乐休闲活动；不得索取、收受可能影响公正执法的财物、有价凭证；不得由管理服务对象报销个人开支；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（八）工作时段严禁饮酒；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（九）严禁酒后驾车、公车私用；执法公务车辆不得搭载与公务无关人员；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（十）非因公务需要，不得身着制式制服进入各类娱乐场所。</w:t>
      </w:r>
    </w:p>
    <w:p w14:paraId="72DE7C8A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第十六条【罚没财物管理】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罚款、没收违法所得、处置罚没物品取得的款项，执法人员不得以任何形式隐匿、截留、挪用、私分或者变相私分。罚没财物实行统一登记、专人保管，严格依照法定流程处置</w:t>
      </w:r>
      <w:r>
        <w:rPr>
          <w:rFonts w:hint="eastAsia" w:ascii="国标仿宋-GB/T 2312" w:hAnsi="国标仿宋-GB/T 2312" w:eastAsia="国标仿宋-GB/T 2312" w:cs="国标仿宋-GB/T 2312"/>
          <w:color w:val="FF0000"/>
          <w:sz w:val="32"/>
          <w:szCs w:val="32"/>
        </w:rPr>
        <w:t>，并按要求公开处置结果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。</w:t>
      </w:r>
    </w:p>
    <w:p w14:paraId="67B5A10D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第十七条【回避制度】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执法人员与案件当事人、利害关系人存在夫妻、直系血亲、三代以内旁系血亲、近姻亲关系或者存在经济利益等利害关系，可能影响案件公正处理的，应当主动申请回避；当事人提出回避申请的，由本局负责人依法作出是否回避的决定。</w:t>
      </w:r>
    </w:p>
    <w:p w14:paraId="311718B1">
      <w:pPr>
        <w:spacing w:before="320" w:after="120" w:line="288" w:lineRule="auto"/>
        <w:ind w:left="0"/>
        <w:jc w:val="left"/>
        <w:outlineLvl w:val="1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4" w:name="heading_4"/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第四章 仪容举止规范</w:t>
      </w:r>
      <w:bookmarkEnd w:id="4"/>
    </w:p>
    <w:p w14:paraId="2E3F9929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第十八条【总体仪表要求】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执行行政执法公务时，执法人员应当举止得体，着装整洁，仪表端正，展现市场监管执法队伍良好精神风貌。</w:t>
      </w:r>
    </w:p>
    <w:p w14:paraId="44E013C5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第十九条【制式着装要求】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着制式服装开展公务，应当严格按照市场监管制式服装及标志佩戴管理规范成套着装，规范佩戴帽徽、肩章、领花、臂章、胸徽、胸号等标识；不得与便服混穿，不得佩戴与执法身份不符的饰品、标识。</w:t>
      </w:r>
    </w:p>
    <w:p w14:paraId="5A3DD8DB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第二十条【非公务着装】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非公务外出，原则上应当穿着便装。</w:t>
      </w:r>
    </w:p>
    <w:p w14:paraId="1646310A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第二十一条【执法现场禁止行为】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开展行政执法活动，禁止下列行为：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（一）同事之间搭肩、挽臂、互相揽腰；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（二）追逐嬉闹、大声喧哗；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（三）执勤执法过程饮酒、吃零食；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（四）实施手指呵斥、拍桌、踢踹等针对行政相对人的粗暴肢体行为；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（五）其他有损市场监管执法队伍形象的行为。</w:t>
      </w:r>
    </w:p>
    <w:p w14:paraId="205E1E78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第二十二条【处置暴力抗法】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遭遇行政相对人暴力抗法、阻挠公务执行时，执法人员可在法律允许范围内采取必要保护性措施自保，严禁与当事人互相斗殴、激化现场矛盾；必须全程开启执法记录仪完整记录全部处置过程。</w:t>
      </w:r>
    </w:p>
    <w:p w14:paraId="7174D7DD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第二十三条【执法车辆管理】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使用执法车辆应当遵守道路交通安全法律法规，文明行车，严禁酒后驾车。执法车辆不得搭乘与工作无关人员，严禁公车私用；非工作需要，不得将执法车辆停放在公共娱乐场所、餐馆酒楼等区域。</w:t>
      </w:r>
    </w:p>
    <w:p w14:paraId="2923099B">
      <w:pPr>
        <w:spacing w:before="320" w:after="120" w:line="288" w:lineRule="auto"/>
        <w:ind w:left="0"/>
        <w:jc w:val="left"/>
        <w:outlineLvl w:val="1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5" w:name="heading_5"/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第五章 执法用语规范</w:t>
      </w:r>
      <w:bookmarkEnd w:id="5"/>
    </w:p>
    <w:p w14:paraId="077A17DA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第二十四条【通用要求】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执法用语应当规范、文明、准确，优先使用普通话；可以结合当事人沟通习惯使用便于交流的本地方言。严禁使用粗俗、歧视、侮辱、威胁性语言；不得使用含糊、敷衍用语诱导相对人或者推卸执法责任。</w:t>
      </w:r>
    </w:p>
    <w:p w14:paraId="7EEC78FC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第二十五条【接待来访】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接待来访办事人员，态度谦和诚恳，主动问候接待，仔细问询情况，耐心做好解释，清晰告知当事人相关权利义务、部门职责，反馈、答复事项的渠道和方式。</w:t>
      </w:r>
    </w:p>
    <w:p w14:paraId="146976B9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第二十六条【通讯联络】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电话等通讯联络时，应当使用礼貌称谓，准确通报单位名称和本人身份，认真询问或说明事由，问话和气简洁，答话明确具体。</w:t>
      </w:r>
    </w:p>
    <w:p w14:paraId="66407D96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第二十七条【询问调查用语】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开展询问调查，应当首先亮明执法身份，告知当事人法定权利义务，讲清调查事由；询问笔录应当交由当事人核对或者向其宣读，保证记录完整客观。</w:t>
      </w:r>
    </w:p>
    <w:p w14:paraId="117EAB1D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第二十八条【关键场景提示】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在亮明身份、现场检查调查、开启执法记录仪等关键执法环节，应当使用规范提示用语，完整告知当事人执法主体、执法事项、法律依据以及音像记录情况。</w:t>
      </w:r>
    </w:p>
    <w:p w14:paraId="13AED0B5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第二十九条【文明执法底线】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落实文明执法总体要求，做到仪表得体、言语文明，充分尊重当事人以及利害关系人。严禁使用侮辱、挑衅、威胁、歧视、敷衍类话语；杜绝态度蛮横、推诿扯皮、行为粗暴。</w:t>
      </w:r>
    </w:p>
    <w:p w14:paraId="718DF7EA">
      <w:pPr>
        <w:spacing w:before="320" w:after="120" w:line="288" w:lineRule="auto"/>
        <w:ind w:left="0"/>
        <w:jc w:val="left"/>
        <w:outlineLvl w:val="1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6" w:name="heading_6"/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第六章 执法程序要求</w:t>
      </w:r>
      <w:bookmarkEnd w:id="6"/>
    </w:p>
    <w:p w14:paraId="744233D7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第三十条【全过程记录】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行政执法全流程，</w:t>
      </w:r>
      <w:r>
        <w:rPr>
          <w:rFonts w:hint="eastAsia" w:ascii="国标仿宋-GB/T 2312" w:hAnsi="国标仿宋-GB/T 2312" w:eastAsia="国标仿宋-GB/T 2312" w:cs="国标仿宋-GB/T 2312"/>
          <w:color w:val="FF0000"/>
          <w:sz w:val="32"/>
          <w:szCs w:val="32"/>
        </w:rPr>
        <w:t>通过文字记录、音视频录制相结合方式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，对执法启动、调查取证、审核研判、决定作出、送达执行各环节如实完整记录，按规定归档保存，实现全过程留痕、可回溯管理。不得篡改、删减原始音像记录。</w:t>
      </w:r>
    </w:p>
    <w:p w14:paraId="6CD0C341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第三十一条【文书与权利告知】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执法过程中依法出具各类执法文书，主动向当事人告知案件事由、法律依据、享有的法定权利以及救济渠道，保障当事人各项法定权益。当事人提出的事实、理由、证据成立的，应当予以采纳；不予采纳的，应当说明理由。</w:t>
      </w:r>
    </w:p>
    <w:p w14:paraId="6ADC4F1A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第三十二条【调查取证规则】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调查取证坚持合法、全面、客观、公正原则。严禁以利诱、欺骗、胁迫、暴力等非法手段收集证据；不得伪造、藏匿、损毁证据材料。</w:t>
      </w:r>
    </w:p>
    <w:p w14:paraId="3372663B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第三十三条【涉案财物处置】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采取证据先行登记保存、查封场所设施、扣押涉案财物措施时，应当妥善保管涉案财物，不得擅自使用、损毁、处置或者截留。涉案财物的保管、处置按照本局涉案财物管理相关制度执行。</w:t>
      </w:r>
    </w:p>
    <w:p w14:paraId="33D5BF51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第三十四条【重大执法决定法制审核】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作出下列重大执法决定之前，必须开展法制审核；未经法制审核或者审核不予通过的，不得作出决定：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（一）涉及重大公共利益的；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（二）可能引发重大社会影响或者风险隐患的；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（三）直接关系当事人、第三方重大权益，且经过听证程序，或者案情复杂疑难、涉及多重法律关系的；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（四）法律、法规、规章规定应当开展法制审核的其他情形。</w:t>
      </w:r>
    </w:p>
    <w:p w14:paraId="6A8DEBAB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第三十五条【说理式执法】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积极推行说理式执法、柔性执法，将普法宣传融入办案全过程，努力实现政治效果、法律效果、社会效果相统一。</w:t>
      </w:r>
    </w:p>
    <w:p w14:paraId="693E7AB4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第三十六条【案卷归档管理】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严格执行行政执法案卷归档管理制度。执法文书要素齐全、表述严谨；案卷材料真实完整规范。严禁涂改篡改案卷材料，严禁案卷造假。</w:t>
      </w:r>
    </w:p>
    <w:p w14:paraId="79EF3112">
      <w:pPr>
        <w:spacing w:before="320" w:after="120" w:line="288" w:lineRule="auto"/>
        <w:ind w:left="0"/>
        <w:jc w:val="left"/>
        <w:outlineLvl w:val="1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7" w:name="heading_7"/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第七章 监督与问责机制</w:t>
      </w:r>
      <w:bookmarkEnd w:id="7"/>
    </w:p>
    <w:p w14:paraId="62D17B52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第三十七条【外部监督】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本规范在本局政务公开平台对外公开，自觉接受人大、司法机关、纪检监察机关、市场主体以及社会公众监督。市场主体、群众可以通过 12315 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12345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平台、信访窗口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以及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纪检投诉渠道，反映执法不规范问题线索。</w:t>
      </w:r>
    </w:p>
    <w:p w14:paraId="67195AA2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color w:val="FF0000"/>
          <w:sz w:val="32"/>
          <w:szCs w:val="32"/>
        </w:rPr>
        <w:t>第三十八条【内部监督检查】</w:t>
      </w:r>
      <w:r>
        <w:rPr>
          <w:rFonts w:hint="eastAsia" w:ascii="国标仿宋-GB/T 2312" w:hAnsi="国标仿宋-GB/T 2312" w:eastAsia="国标仿宋-GB/T 2312" w:cs="国标仿宋-GB/T 2312"/>
          <w:color w:val="FF0000"/>
          <w:sz w:val="32"/>
          <w:szCs w:val="32"/>
        </w:rPr>
        <w:t xml:space="preserve"> 本局常态化组织开展执法行为监督检查，及时排查、纠正违反本规范的执法问题；将执法人员遵守本规范情况纳入执法质量考评。</w:t>
      </w:r>
    </w:p>
    <w:p w14:paraId="3C53290D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color w:val="FF0000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color w:val="FF0000"/>
          <w:sz w:val="32"/>
          <w:szCs w:val="32"/>
        </w:rPr>
        <w:t>第三十九条【责任追究】</w:t>
      </w:r>
      <w:r>
        <w:rPr>
          <w:rFonts w:hint="eastAsia" w:ascii="国标仿宋-GB/T 2312" w:hAnsi="国标仿宋-GB/T 2312" w:eastAsia="国标仿宋-GB/T 2312" w:cs="国标仿宋-GB/T 2312"/>
          <w:color w:val="FF0000"/>
          <w:sz w:val="32"/>
          <w:szCs w:val="32"/>
        </w:rPr>
        <w:t xml:space="preserve"> 执法人员违反本规范相关规定：</w:t>
      </w:r>
      <w:r>
        <w:rPr>
          <w:rFonts w:hint="eastAsia" w:ascii="国标仿宋-GB/T 2312" w:hAnsi="国标仿宋-GB/T 2312" w:eastAsia="国标仿宋-GB/T 2312" w:cs="国标仿宋-GB/T 2312"/>
          <w:color w:val="FF0000"/>
          <w:sz w:val="32"/>
          <w:szCs w:val="32"/>
        </w:rPr>
        <w:br w:type="textWrapping"/>
      </w:r>
      <w:r>
        <w:rPr>
          <w:rFonts w:hint="eastAsia" w:ascii="国标仿宋-GB/T 2312" w:hAnsi="国标仿宋-GB/T 2312" w:eastAsia="国标仿宋-GB/T 2312" w:cs="国标仿宋-GB/T 2312"/>
          <w:color w:val="FF0000"/>
          <w:sz w:val="32"/>
          <w:szCs w:val="32"/>
        </w:rPr>
        <w:t>情节较轻的，责令整改，给予批评教育、通报批评或者诫勉处理；情节较重的，依规对主管人员和直接责任人员给予政务处分；涉嫌构成犯罪的，移交司法机关依法追究刑事责任。</w:t>
      </w:r>
    </w:p>
    <w:p w14:paraId="4149EE0B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9" w:name="_GoBack"/>
      <w:r>
        <w:rPr>
          <w:rFonts w:hint="eastAsia" w:ascii="国标仿宋-GB/T 2312" w:hAnsi="国标仿宋-GB/T 2312" w:eastAsia="国标仿宋-GB/T 2312" w:cs="国标仿宋-GB/T 2312"/>
          <w:b/>
          <w:color w:val="FF0000"/>
          <w:sz w:val="32"/>
          <w:szCs w:val="32"/>
        </w:rPr>
        <w:t>第四十条【文件定期评估清理】</w:t>
      </w:r>
      <w:r>
        <w:rPr>
          <w:rFonts w:hint="eastAsia" w:ascii="国标仿宋-GB/T 2312" w:hAnsi="国标仿宋-GB/T 2312" w:eastAsia="国标仿宋-GB/T 2312" w:cs="国标仿宋-GB/T 2312"/>
          <w:color w:val="FF0000"/>
          <w:sz w:val="32"/>
          <w:szCs w:val="32"/>
        </w:rPr>
        <w:t xml:space="preserve"> 本局结合法律法规更新、上级文件调整情况，按规定开展本规范实施评估与规范性文件清理，及时修订完善相关条款</w:t>
      </w:r>
      <w:bookmarkEnd w:id="9"/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。</w:t>
      </w:r>
    </w:p>
    <w:p w14:paraId="41A1A949">
      <w:pPr>
        <w:spacing w:before="320" w:after="120" w:line="288" w:lineRule="auto"/>
        <w:ind w:left="0"/>
        <w:jc w:val="left"/>
        <w:outlineLvl w:val="1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8" w:name="heading_8"/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第八章 附则</w:t>
      </w:r>
      <w:bookmarkEnd w:id="8"/>
    </w:p>
    <w:p w14:paraId="316C486C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第四十一条【解释权】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本规范由</w:t>
      </w: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泰宁县市场监督管理局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负责解释。</w:t>
      </w:r>
    </w:p>
    <w:p w14:paraId="365A73C5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/>
          <w:sz w:val="32"/>
          <w:szCs w:val="32"/>
        </w:rPr>
        <w:t>第四十二条【施行日期】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 xml:space="preserve"> 本规范自 XXXX 年 XX 月 XX 日起施行。</w:t>
      </w:r>
    </w:p>
    <w:p w14:paraId="3B5E01D5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3C89DC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500300">
            <w:pPr>
              <w:spacing w:before="120" w:after="120" w:line="288" w:lineRule="auto"/>
              <w:ind w:left="0"/>
              <w:jc w:val="left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color w:val="646A73"/>
                <w:sz w:val="32"/>
                <w:szCs w:val="32"/>
              </w:rPr>
              <w:t>附件：行政执法规范用语指引</w:t>
            </w:r>
          </w:p>
          <w:tbl>
            <w:tblPr>
              <w:tblStyle w:val="2"/>
              <w:tblW w:w="0" w:type="auto"/>
              <w:tblInd w:w="0" w:type="dxa"/>
              <w:tblBorders>
                <w:top w:val="single" w:color="DEE0E3" w:sz="0" w:space="0"/>
                <w:left w:val="single" w:color="DEE0E3" w:sz="0" w:space="0"/>
                <w:bottom w:val="single" w:color="DEE0E3" w:sz="0" w:space="0"/>
                <w:right w:val="single" w:color="DEE0E3" w:sz="0" w:space="0"/>
                <w:insideH w:val="single" w:color="DEE0E3" w:sz="0" w:space="0"/>
                <w:insideV w:val="single" w:color="DEE0E3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85"/>
              <w:gridCol w:w="2685"/>
              <w:gridCol w:w="2685"/>
            </w:tblGrid>
            <w:tr w14:paraId="01287C55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3B58EC03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过程情形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7C164EBC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用语规范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56163E12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备注</w:t>
                  </w:r>
                </w:p>
              </w:tc>
            </w:tr>
            <w:tr w14:paraId="53D0B492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44B45102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表明身份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0A4FE826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您好！我们是泰宁县市场监督管理局执法工作人员 XXX、XXX，这是我们的行政执法证件，请您查看。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1B70269B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表明身份应当同时出示证件；当事人存在阅读障碍的，可口头宣读证件主要内容。</w:t>
                  </w:r>
                </w:p>
              </w:tc>
            </w:tr>
            <w:tr w14:paraId="787EB46E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220EE00D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检查调查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54DDDD24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我们依据《XXX》，依法对你（单位）开展 XXX 检查（核查），请你（单位）予以协助配合。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3A97BB4E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应当明确告知法律依据与检查事项，不得随意扩大检查范围。</w:t>
                  </w:r>
                </w:p>
              </w:tc>
            </w:tr>
            <w:tr w14:paraId="148685CA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00BC8477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音像记录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700BA570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按照执法工作规定，本次执法全过程将使用执法记录仪记录，录制的音视频资料将作为案件证据使用。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1566187C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开启设备后，宜口头说明日期、事由、执法人员、检查对象，强化证据完整性。</w:t>
                  </w:r>
                </w:p>
              </w:tc>
            </w:tr>
            <w:tr w14:paraId="3BE574E0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410C6576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开展询问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28DA7408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请您携带 XXX 相关材料，于 XX 月 XX 日到 XX 科室接受询问调查，如有疑问，可联系 XXX 同志，联系电话：XXX。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34AFF74E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询问通知书应当依法送达，确保当事人知晓联系人及联系方式。</w:t>
                  </w:r>
                </w:p>
              </w:tc>
            </w:tr>
            <w:tr w14:paraId="0259038B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6FCA0410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笔录签字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60989F6A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以上是本次询问形成的笔录，现已向您宣读（请您核对）。记录内容如有错漏，您可以提出，我们予以更正补充；确认无误，请逐页签字盖章。如果拒绝签字，我们会在笔录中注明情况，依法处置。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6C56B263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当事人拒绝签字的，应当在笔录如实注明，由两名执法人员签名确认。</w:t>
                  </w:r>
                </w:p>
              </w:tc>
            </w:tr>
            <w:tr w14:paraId="1A3D9186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290D94C6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拟作出行政处罚告知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4BEF3F9B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经检查（核查），发现你（单位）XXX 行为涉嫌违反《XXX》第 XX 条（第 XX 款）（第 XX 项）的规定，属于 XXX 违法行为，依法拟对你（单位）处以 XXX 处罚。你（单位）依法享有陈述、申辩的权利。现在你（单位）可以进行陈述和申辩；如本次拟处罚属于听证范围，你（单位）有权申请听证。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76F268C6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充分告知拟处罚事实、依据，保障陈述申辩权；属于听证范围的，必须明确告知听证申请权利。</w:t>
                  </w:r>
                </w:p>
              </w:tc>
            </w:tr>
            <w:tr w14:paraId="0220C8D5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72452C59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行政处罚决定书宣告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2396F361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经查实，你（单位）实施 XXX 行为，违反《XXX》第 XX 条（第 XX 款）（第 XX 项）的规定，根据《XXX》第 XX 条（第 XX 款）（第 XX 项）之规定，我局现作出〔XXXX〕XX 号《行政处罚决定书》，决定对你（单位）处以 XXX。请在法定期限内按规定方式履行。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6191F484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宣告同时送达书面决定书，说明履行期限、方式以及逾期不履行的法律后果。</w:t>
                  </w:r>
                </w:p>
              </w:tc>
            </w:tr>
            <w:tr w14:paraId="3250BE93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250B5639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行政强制措施宣告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6563A724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你（单位）涉嫌实施 XXX 违法行为，依据《XXX》第 XX 条（第 XX 款）（第 XX 项）的规定，本局依法对 XXX 场所（物品、工具）实施 XXX 行政强制措施，实施期限为 XXX，请予以配合。你（单位）享有陈述、申辩权利。这是《实施行政强制措施决定书》和《场所 / 设施 / 财物清单》，请你核对，无异议请在现场笔录及清单签名或者盖章。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35956CD0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实施强制必须具备明确法律依据，不得随意扩大对象范围，当场交付文书，制作现场笔录。</w:t>
                  </w:r>
                </w:p>
              </w:tc>
            </w:tr>
            <w:tr w14:paraId="4E9D8220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6325B60D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救济途径告知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667B9CCE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你（单位）如不服本行政处罚（行政强制）决定，可以在收到本决定书之日起 60 日内向泰宁县人民政府申请行政复议，或者在 6 个月内向人民法院提起行政诉讼。法律规定复议前置的，从其规定。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06B2A20B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准确告知复议机关、诉讼时限；存在复议前置情形应当专门提示。</w:t>
                  </w:r>
                </w:p>
              </w:tc>
            </w:tr>
            <w:tr w14:paraId="59716B6D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246C84C3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听证告知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2DD85EC6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根据你（单位）申请，本局定于 XXXX 年 XX 月 XX 日 XX 时，在 XXX 地点对你（单位）涉嫌 XXX 一案（公开 / 不公开）举行听证。听证主持人 XXX，听证员 XXX，记录员 XXX，翻译 XXX。你如认为上述人员与本案存在直接利害关系，有权申请回避。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3FB7BF53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告知应当载明时间、地点、人员组成、回避权利；依法确定听证是否公开。</w:t>
                  </w:r>
                </w:p>
              </w:tc>
            </w:tr>
            <w:tr w14:paraId="3AA7EABD">
              <w:tblPrEx>
                <w:tblBorders>
                  <w:top w:val="single" w:color="DEE0E3" w:sz="0" w:space="0"/>
                  <w:left w:val="single" w:color="DEE0E3" w:sz="0" w:space="0"/>
                  <w:bottom w:val="single" w:color="DEE0E3" w:sz="0" w:space="0"/>
                  <w:right w:val="single" w:color="DEE0E3" w:sz="0" w:space="0"/>
                  <w:insideH w:val="single" w:color="DEE0E3" w:sz="0" w:space="0"/>
                  <w:insideV w:val="single" w:color="DEE0E3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168EF153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妨碍公务时告知当事人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13C703EC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请保持冷静！我们是泰宁县市场监管局执法人员，正在依法执行公务，执法记录仪正在全程记录。请配合调查检查，不要阻挠执法。对执法过程有异议，可向泰宁县市场监督管理局或者纪检监察部门反映。</w:t>
                  </w:r>
                </w:p>
              </w:tc>
              <w:tc>
                <w:tcPr>
                  <w:tcW w:w="2685" w:type="dxa"/>
                  <w:tcMar>
                    <w:top w:w="60" w:type="dxa"/>
                    <w:left w:w="120" w:type="dxa"/>
                    <w:bottom w:w="30" w:type="dxa"/>
                    <w:right w:w="120" w:type="dxa"/>
                  </w:tcMar>
                </w:tcPr>
                <w:p w14:paraId="2C32DA9A">
                  <w:pPr>
                    <w:spacing w:before="120" w:after="120" w:line="288" w:lineRule="auto"/>
                    <w:ind w:left="0"/>
                    <w:jc w:val="left"/>
                    <w:rPr>
                      <w:rFonts w:hint="eastAsia" w:ascii="国标仿宋-GB/T 2312" w:hAnsi="国标仿宋-GB/T 2312" w:eastAsia="国标仿宋-GB/T 2312" w:cs="国标仿宋-GB/T 2312"/>
                      <w:sz w:val="32"/>
                      <w:szCs w:val="32"/>
                    </w:rPr>
                  </w:pPr>
                  <w:r>
                    <w:rPr>
                      <w:rFonts w:hint="eastAsia" w:ascii="国标仿宋-GB/T 2312" w:hAnsi="国标仿宋-GB/T 2312" w:eastAsia="国标仿宋-GB/T 2312" w:cs="国标仿宋-GB/T 2312"/>
                      <w:color w:val="646A73"/>
                      <w:sz w:val="32"/>
                      <w:szCs w:val="32"/>
                    </w:rPr>
                    <w:t>遇阻挠应当保持克制，不得与当事人发生肢体冲突，禁止侮辱性语言。</w:t>
                  </w:r>
                </w:p>
              </w:tc>
            </w:tr>
          </w:tbl>
          <w:p w14:paraId="4DB741B2">
            <w:pP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</w:rPr>
            </w:pPr>
          </w:p>
        </w:tc>
      </w:tr>
    </w:tbl>
    <w:p w14:paraId="0DCD3183">
      <w:pPr>
        <w:spacing w:before="120" w:after="120" w:line="288" w:lineRule="auto"/>
        <w:ind w:left="0"/>
        <w:jc w:val="left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28814D31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5720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0F67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AF2D8DEA"/>
    <w:rsid w:val="EBCFC02C"/>
    <w:rsid w:val="FFEB99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TotalTime>3</TotalTime>
  <ScaleCrop>false</ScaleCrop>
  <LinksUpToDate>false</LinksUpToDate>
  <Application>WPS Office_12.8.2.17863_F1E327BC-269C-435d-A152-05C5408002CA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2026-09-18T00:46:00Z</dcterms:created>
  <dc:creator>Apache POI</dc:creator>
  <cp:lastModifiedBy>Administrator</cp:lastModifiedBy>
  <dcterms:modified xsi:type="dcterms:W3CDTF">2026-09-17T10:52:04Z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{"Label":"1","ContentProducer":"001191110102MACQD9K64010000","ProduceID":"7686299079221923015","ReservedCode1":"","ContentPropagator":"","PropagateID":"","ReservedCode2":""}</vt:lpwstr>
  </property>
  <property fmtid="{D5CDD505-2E9C-101B-9397-08002B2CF9AE}" pid="3" name="KSOProductBuildVer">
    <vt:lpwstr>2052-12.8.2.17863</vt:lpwstr>
  </property>
  <property fmtid="{D5CDD505-2E9C-101B-9397-08002B2CF9AE}" pid="4" name="ICV">
    <vt:lpwstr>73FCD6E3C1BCFC624E43AB6ABCFA6F48_43</vt:lpwstr>
  </property>
</Properties>
</file>