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F17259">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50C52AE">
      <w:pPr>
        <w:pStyle w:val="8"/>
        <w:jc w:val="center"/>
        <w:outlineLvl w:val="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8"/>
          <w:highlight w:val="none"/>
        </w:rPr>
        <w:t>福建省政府采购</w:t>
      </w:r>
    </w:p>
    <w:p w14:paraId="0805CEE4">
      <w:pPr>
        <w:pStyle w:val="8"/>
        <w:jc w:val="center"/>
        <w:outlineLvl w:val="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8"/>
          <w:highlight w:val="none"/>
        </w:rPr>
        <w:t>货物和服务项目</w:t>
      </w:r>
    </w:p>
    <w:p w14:paraId="7C86C34A">
      <w:pPr>
        <w:pStyle w:val="8"/>
        <w:jc w:val="center"/>
        <w:outlineLvl w:val="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8"/>
          <w:highlight w:val="none"/>
        </w:rPr>
        <w:t>公开招标文件</w:t>
      </w:r>
    </w:p>
    <w:p w14:paraId="46B17A9D">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项目名称：泰宁县教育局2026年学校食堂食材（含干货、生鲜）配送服务</w:t>
      </w:r>
    </w:p>
    <w:p w14:paraId="5E2BDADC">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备案编号：CGXM-2026-350429-00207[2026]00144</w:t>
      </w:r>
    </w:p>
    <w:p w14:paraId="5F9AF685">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项目编号：[350429]HJZB[GK]2026001</w:t>
      </w:r>
    </w:p>
    <w:p w14:paraId="09FF794E">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采购人：泰宁县教育局</w:t>
      </w:r>
    </w:p>
    <w:p w14:paraId="6CD1A07B">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代理机构：三明华建招标代理有限公司</w:t>
      </w:r>
    </w:p>
    <w:p w14:paraId="13A7326E">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编制时间：2026年0</w:t>
      </w:r>
      <w:r>
        <w:rPr>
          <w:rFonts w:hint="eastAsia" w:asciiTheme="minorEastAsia" w:hAnsiTheme="minorEastAsia" w:cstheme="minorEastAsia"/>
          <w:b/>
          <w:color w:val="auto"/>
          <w:sz w:val="28"/>
          <w:highlight w:val="none"/>
          <w:lang w:val="en-US" w:eastAsia="zh-CN"/>
        </w:rPr>
        <w:t>7</w:t>
      </w:r>
      <w:r>
        <w:rPr>
          <w:rFonts w:hint="eastAsia" w:asciiTheme="minorEastAsia" w:hAnsiTheme="minorEastAsia" w:eastAsiaTheme="minorEastAsia" w:cstheme="minorEastAsia"/>
          <w:b/>
          <w:color w:val="auto"/>
          <w:sz w:val="28"/>
          <w:highlight w:val="none"/>
        </w:rPr>
        <w:t>月</w:t>
      </w:r>
    </w:p>
    <w:p w14:paraId="6C647EC1">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4A2F3AD5">
      <w:pPr>
        <w:pStyle w:val="8"/>
        <w:jc w:val="center"/>
        <w:outlineLvl w:val="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highlight w:val="none"/>
        </w:rPr>
        <w:t>第一章 投标邀请</w:t>
      </w:r>
    </w:p>
    <w:p w14:paraId="6945CA1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三明华建招标代理有限公司 采用公开招标方式组织 泰宁县教育局2026年学校食堂食材（含干货、生鲜）配送服务 （以下简称：“本项目”）的政府采购活动，现邀请供应商参加投标。</w:t>
      </w:r>
    </w:p>
    <w:p w14:paraId="273CC950">
      <w:pPr>
        <w:pStyle w:val="8"/>
        <w:ind w:firstLine="480"/>
        <w:jc w:val="left"/>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1、备案编号：CGXM-2026-350429-00207[2026]00144</w:t>
      </w:r>
    </w:p>
    <w:p w14:paraId="39E9EA76">
      <w:pPr>
        <w:pStyle w:val="8"/>
        <w:ind w:firstLine="480"/>
        <w:jc w:val="left"/>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2、项目编号：[350429]HJZB[GK]2026001</w:t>
      </w:r>
    </w:p>
    <w:p w14:paraId="1BF6B378">
      <w:pPr>
        <w:pStyle w:val="8"/>
        <w:ind w:firstLine="480"/>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3、预算金额、最高限价：详见《采购标的一览表》。</w:t>
      </w:r>
    </w:p>
    <w:p w14:paraId="3D2C2D7A">
      <w:pPr>
        <w:pStyle w:val="8"/>
        <w:ind w:firstLine="480"/>
        <w:jc w:val="left"/>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4、招标内容及要求：详见《采购标的一览表》及招标文件第五章。</w:t>
      </w:r>
    </w:p>
    <w:p w14:paraId="783F20E0">
      <w:pPr>
        <w:pStyle w:val="8"/>
        <w:ind w:firstLine="480"/>
        <w:jc w:val="left"/>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5、需要落实的政府采购政策</w:t>
      </w:r>
    </w:p>
    <w:p w14:paraId="37EAEFF2">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进口产品：不适用</w:t>
      </w:r>
    </w:p>
    <w:p w14:paraId="0ABDA5C5">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节能产品：不适用</w:t>
      </w:r>
    </w:p>
    <w:p w14:paraId="07143005">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环境标志产品：不适用</w:t>
      </w:r>
    </w:p>
    <w:p w14:paraId="60B52EAE">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促进中小企业发展的相关政策：</w:t>
      </w:r>
    </w:p>
    <w:p w14:paraId="7E7C4BC4">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采购包1：设置专门采购包</w:t>
      </w:r>
    </w:p>
    <w:p w14:paraId="39B615AD">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面向的企业规模：中小企业</w:t>
      </w:r>
    </w:p>
    <w:p w14:paraId="691AAF9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预留形式：设置专门采购包</w:t>
      </w:r>
    </w:p>
    <w:p w14:paraId="5F7AE42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预留比例：100%</w:t>
      </w:r>
    </w:p>
    <w:p w14:paraId="4D5BD6C0">
      <w:pPr>
        <w:pStyle w:val="8"/>
        <w:ind w:firstLine="480"/>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6、投标人的资格要求</w:t>
      </w:r>
    </w:p>
    <w:p w14:paraId="06779524">
      <w:pPr>
        <w:pStyle w:val="8"/>
        <w:ind w:firstLine="9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6.1法定条件：符合政府采购法第二十二条第一款规定的条件。</w:t>
      </w:r>
    </w:p>
    <w:p w14:paraId="274A7DB7">
      <w:pPr>
        <w:pStyle w:val="8"/>
        <w:ind w:firstLine="9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6.2特定条件：</w:t>
      </w:r>
    </w:p>
    <w:p w14:paraId="2EA4CDC4">
      <w:pPr>
        <w:pStyle w:val="8"/>
        <w:ind w:firstLine="9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5738"/>
      </w:tblGrid>
      <w:tr w14:paraId="0BDF6B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55AA0ADC">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资格审查要求概况</w:t>
            </w:r>
          </w:p>
        </w:tc>
        <w:tc>
          <w:tcPr>
            <w:tcW w:w="5738" w:type="dxa"/>
          </w:tcPr>
          <w:p w14:paraId="6C076591">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评审点具体描述</w:t>
            </w:r>
          </w:p>
        </w:tc>
      </w:tr>
      <w:tr w14:paraId="12B52C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4E66AC71">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资格承诺函</w:t>
            </w:r>
          </w:p>
        </w:tc>
        <w:tc>
          <w:tcPr>
            <w:tcW w:w="5738" w:type="dxa"/>
          </w:tcPr>
          <w:p w14:paraId="3D907BAB">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14:paraId="73A00E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37BF288E">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其他资格条件</w:t>
            </w:r>
          </w:p>
        </w:tc>
        <w:tc>
          <w:tcPr>
            <w:tcW w:w="5738" w:type="dxa"/>
            <w:shd w:val="clear" w:color="auto" w:fill="auto"/>
            <w:vAlign w:val="top"/>
          </w:tcPr>
          <w:p w14:paraId="0BA39251">
            <w:pPr>
              <w:pStyle w:val="8"/>
              <w:jc w:val="left"/>
              <w:rPr>
                <w:rFonts w:hint="eastAsia" w:asciiTheme="minorEastAsia" w:hAnsiTheme="minorEastAsia" w:eastAsiaTheme="minorEastAsia" w:cstheme="minorEastAsia"/>
                <w:color w:val="auto"/>
                <w:highlight w:val="none"/>
                <w:lang w:val="en-US" w:eastAsia="zh-Hans"/>
              </w:rPr>
            </w:pPr>
            <w:r>
              <w:rPr>
                <w:rFonts w:hint="eastAsia" w:asciiTheme="minorEastAsia" w:hAnsiTheme="minorEastAsia" w:eastAsiaTheme="minorEastAsia" w:cstheme="minorEastAsia"/>
                <w:color w:val="auto"/>
                <w:highlight w:val="none"/>
              </w:rPr>
              <w:t>投标人须提供有效期内的《食品生产许可证》或《食品经营许可证》并加盖投标人公章。</w:t>
            </w:r>
          </w:p>
        </w:tc>
      </w:tr>
      <w:tr w14:paraId="6DF612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332E11BA">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本采购包属于专门面向中小企业采购。</w:t>
            </w:r>
          </w:p>
        </w:tc>
        <w:tc>
          <w:tcPr>
            <w:tcW w:w="5738" w:type="dxa"/>
          </w:tcPr>
          <w:p w14:paraId="72D3FF93">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本采购包为专门面向中小企业采购，投标人须提供中小企业声明函。监狱企业、残疾人福利性单位视同小型、微型企业。</w:t>
            </w:r>
          </w:p>
        </w:tc>
      </w:tr>
    </w:tbl>
    <w:p w14:paraId="7CAA38AF">
      <w:pPr>
        <w:pStyle w:val="8"/>
        <w:ind w:firstLine="9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6.3是否接受联合体投标：</w:t>
      </w:r>
    </w:p>
    <w:p w14:paraId="376A7E8B">
      <w:pPr>
        <w:pStyle w:val="8"/>
        <w:ind w:firstLine="9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采购包1：不接受</w:t>
      </w:r>
    </w:p>
    <w:p w14:paraId="46D2AEC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※根据上述资格要求，电子投标文件中应提交的“投标人的资格及资信证明文件”详见招标文件第四章。</w:t>
      </w:r>
    </w:p>
    <w:p w14:paraId="7166A7E0">
      <w:pPr>
        <w:pStyle w:val="8"/>
        <w:ind w:firstLine="480"/>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7、招标文件的获取</w:t>
      </w:r>
    </w:p>
    <w:p w14:paraId="2733CE76">
      <w:pPr>
        <w:pStyle w:val="8"/>
        <w:ind w:firstLine="9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7.1、招标文件获取期限：详见招标公告或更正公告，若不一致，以更正公告为准。</w:t>
      </w:r>
    </w:p>
    <w:p w14:paraId="6361EB77">
      <w:pPr>
        <w:pStyle w:val="8"/>
        <w:ind w:firstLine="9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7.2、在招标文件获取期限内，供应商应通过福建省政府采购网上公开信息系统的注册账号（免费注册）并获取招标文件(登录福建省政府采购网上公开信息系统进行文件获取)，否则投标将被拒绝。</w:t>
      </w:r>
    </w:p>
    <w:p w14:paraId="259F1A20">
      <w:pPr>
        <w:pStyle w:val="8"/>
        <w:ind w:firstLine="9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7.3、获取地点及方式：注册账号后，通过福建省政府采购网上公开信息系统以下载方式获取。</w:t>
      </w:r>
    </w:p>
    <w:p w14:paraId="214F5D74">
      <w:pPr>
        <w:pStyle w:val="8"/>
        <w:ind w:firstLine="9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7.4、招标文件售价：0元。</w:t>
      </w:r>
    </w:p>
    <w:p w14:paraId="2A53CE69">
      <w:pPr>
        <w:pStyle w:val="8"/>
        <w:ind w:firstLine="480"/>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8、投标截止</w:t>
      </w:r>
    </w:p>
    <w:p w14:paraId="3342C6DC">
      <w:pPr>
        <w:pStyle w:val="8"/>
        <w:ind w:firstLine="9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8.1、投标截止时间：详见招标公告或更正公告，若不一致，以更正公告为准。</w:t>
      </w:r>
    </w:p>
    <w:p w14:paraId="7AEC995E">
      <w:pPr>
        <w:pStyle w:val="8"/>
        <w:ind w:firstLine="9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8.2、投标人应在投标截止时间前按照福建省政府采购网上公开信息系统设定的操作流程将电子投标文件上传至福建省政府采购网上公开信息系统，否则投标将被拒绝。</w:t>
      </w:r>
    </w:p>
    <w:p w14:paraId="644F2D78">
      <w:pPr>
        <w:pStyle w:val="8"/>
        <w:ind w:firstLine="480"/>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9、开标时间及地点</w:t>
      </w:r>
    </w:p>
    <w:p w14:paraId="6692DDBD">
      <w:pPr>
        <w:pStyle w:val="8"/>
        <w:ind w:firstLine="9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详见招标公告或更正公告，若不一致，以更正公告为准。</w:t>
      </w:r>
    </w:p>
    <w:p w14:paraId="08DD6FFB">
      <w:pPr>
        <w:pStyle w:val="8"/>
        <w:ind w:firstLine="480"/>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10、公告期限</w:t>
      </w:r>
    </w:p>
    <w:p w14:paraId="31D58D4B">
      <w:pPr>
        <w:pStyle w:val="8"/>
        <w:ind w:firstLine="9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10.1、招标公告的公告期限：自财政部和福建省财政厅指定的政府采购信息发布媒体最先发布公告之日起5个工作日。</w:t>
      </w:r>
    </w:p>
    <w:p w14:paraId="10F8D666">
      <w:pPr>
        <w:pStyle w:val="8"/>
        <w:ind w:firstLine="9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10.2、招标文件公告期限：招标文件随同招标公告一并发布，其公告期限与招标公告的公告期限保持一致。</w:t>
      </w:r>
    </w:p>
    <w:p w14:paraId="28BFB0E0">
      <w:pPr>
        <w:pStyle w:val="8"/>
        <w:ind w:firstLine="480"/>
        <w:jc w:val="left"/>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11、采购人：泰宁县教育局</w:t>
      </w:r>
    </w:p>
    <w:p w14:paraId="0F9FED0A">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地址： 泰宁县杉城镇赵山巷11号教育大楼</w:t>
      </w:r>
    </w:p>
    <w:p w14:paraId="0AC8BA9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邮编： 365000</w:t>
      </w:r>
    </w:p>
    <w:p w14:paraId="3728D31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联系人： 邓水和</w:t>
      </w:r>
    </w:p>
    <w:p w14:paraId="67D887B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联系电话： 13860596443</w:t>
      </w:r>
    </w:p>
    <w:p w14:paraId="7BA789FE">
      <w:pPr>
        <w:pStyle w:val="8"/>
        <w:ind w:firstLine="480"/>
        <w:jc w:val="left"/>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12、代理机构：三明华建招标代理有限公司</w:t>
      </w:r>
    </w:p>
    <w:p w14:paraId="0E0F47D0">
      <w:pPr>
        <w:pStyle w:val="8"/>
        <w:ind w:firstLine="200" w:firstLineChars="10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 福建省三明市沙县区长泰路与金沙路交叉口东南侧金泰加油站综合楼四楼</w:t>
      </w:r>
    </w:p>
    <w:p w14:paraId="788971D1">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邮编： 365500</w:t>
      </w:r>
    </w:p>
    <w:p w14:paraId="50BE0F10">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联系人： 蔡荣平</w:t>
      </w:r>
    </w:p>
    <w:p w14:paraId="1763ADC8">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联系电话： 0598-8259969</w:t>
      </w:r>
    </w:p>
    <w:p w14:paraId="5EDF79FC">
      <w:pPr>
        <w:pStyle w:val="8"/>
        <w:ind w:firstLine="480"/>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附1：账户信息</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69"/>
      </w:tblGrid>
      <w:tr w14:paraId="26332C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69" w:type="dxa"/>
          </w:tcPr>
          <w:p w14:paraId="6F94CA2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投标保证金账户</w:t>
            </w:r>
          </w:p>
          <w:p w14:paraId="60261ED7">
            <w:pPr>
              <w:pStyle w:val="8"/>
              <w:jc w:val="left"/>
              <w:rPr>
                <w:rFonts w:hint="eastAsia" w:asciiTheme="minorEastAsia" w:hAnsiTheme="minorEastAsia" w:eastAsiaTheme="minorEastAsia" w:cstheme="minorEastAsia"/>
                <w:color w:val="auto"/>
                <w:highlight w:val="none"/>
              </w:rPr>
            </w:pPr>
          </w:p>
        </w:tc>
      </w:tr>
      <w:tr w14:paraId="65BDF7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69" w:type="dxa"/>
          </w:tcPr>
          <w:p w14:paraId="36DAB4F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开户名称： 三明华建招标代理有限公司</w:t>
            </w:r>
          </w:p>
        </w:tc>
      </w:tr>
      <w:tr w14:paraId="15783A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69" w:type="dxa"/>
          </w:tcPr>
          <w:p w14:paraId="1DE7A40D">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开户银行：供应商在福建省政府采购网上公开信息系统获取招标文件后，根据其提示自行选择要缴交的投标保证金托管银行。</w:t>
            </w:r>
          </w:p>
        </w:tc>
      </w:tr>
      <w:tr w14:paraId="756EDE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69" w:type="dxa"/>
          </w:tcPr>
          <w:p w14:paraId="7B329D0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14:paraId="02ED37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69" w:type="dxa"/>
          </w:tcPr>
          <w:p w14:paraId="27108A3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特别提示</w:t>
            </w:r>
          </w:p>
        </w:tc>
      </w:tr>
      <w:tr w14:paraId="5D43CC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69" w:type="dxa"/>
          </w:tcPr>
          <w:p w14:paraId="743E58E7">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1、投标人应认真核对账户信息，将投标保证金汇入以上账户，并自行承担因汇错投标保证金而产生的一切后果。</w:t>
            </w:r>
          </w:p>
          <w:p w14:paraId="2B37547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2、投标人在转账或电汇的凭证上应按照以下格式注明，以便核对：“（项目编号：***）的投标保证金”。</w:t>
            </w:r>
          </w:p>
        </w:tc>
      </w:tr>
    </w:tbl>
    <w:p w14:paraId="0360F1AB">
      <w:pPr>
        <w:pStyle w:val="8"/>
        <w:ind w:firstLine="480"/>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附2：采购标的一览表</w:t>
      </w:r>
    </w:p>
    <w:p w14:paraId="6EA0736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w:t>
      </w:r>
    </w:p>
    <w:p w14:paraId="5B46B34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采购包预算金额（元）: 7,500,000.00</w:t>
      </w:r>
    </w:p>
    <w:p w14:paraId="6CA35C6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采购包最高限价（元）: 7,500,000.00</w:t>
      </w:r>
    </w:p>
    <w:p w14:paraId="0E9AF63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采购包保证金金额（元）: 150,000.00</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416"/>
        <w:gridCol w:w="1187"/>
        <w:gridCol w:w="1187"/>
        <w:gridCol w:w="1187"/>
      </w:tblGrid>
      <w:tr w14:paraId="5FC139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A69A2B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187" w:type="dxa"/>
          </w:tcPr>
          <w:p w14:paraId="474798A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标的名称</w:t>
            </w:r>
          </w:p>
        </w:tc>
        <w:tc>
          <w:tcPr>
            <w:tcW w:w="1187" w:type="dxa"/>
          </w:tcPr>
          <w:p w14:paraId="0500EF8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数量</w:t>
            </w:r>
          </w:p>
        </w:tc>
        <w:tc>
          <w:tcPr>
            <w:tcW w:w="1187" w:type="dxa"/>
          </w:tcPr>
          <w:p w14:paraId="74B7E2C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标的金额 （元）</w:t>
            </w:r>
          </w:p>
        </w:tc>
        <w:tc>
          <w:tcPr>
            <w:tcW w:w="1187" w:type="dxa"/>
          </w:tcPr>
          <w:p w14:paraId="3987C56D">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计量单位</w:t>
            </w:r>
          </w:p>
        </w:tc>
        <w:tc>
          <w:tcPr>
            <w:tcW w:w="1187" w:type="dxa"/>
          </w:tcPr>
          <w:p w14:paraId="05CC99A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所属行业</w:t>
            </w:r>
          </w:p>
        </w:tc>
        <w:tc>
          <w:tcPr>
            <w:tcW w:w="1187" w:type="dxa"/>
          </w:tcPr>
          <w:p w14:paraId="692B3D8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是否允许进口产品</w:t>
            </w:r>
          </w:p>
        </w:tc>
      </w:tr>
      <w:tr w14:paraId="4F056A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D029DB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187" w:type="dxa"/>
          </w:tcPr>
          <w:p w14:paraId="14B88AF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泰宁县教育局2026年学校食堂食材（含干货、生鲜）配送服务</w:t>
            </w:r>
          </w:p>
        </w:tc>
        <w:tc>
          <w:tcPr>
            <w:tcW w:w="1187" w:type="dxa"/>
          </w:tcPr>
          <w:p w14:paraId="5C44302C">
            <w:pPr>
              <w:pStyle w:val="8"/>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w:t>
            </w:r>
          </w:p>
        </w:tc>
        <w:tc>
          <w:tcPr>
            <w:tcW w:w="1187" w:type="dxa"/>
          </w:tcPr>
          <w:p w14:paraId="3D8A0F94">
            <w:pPr>
              <w:pStyle w:val="8"/>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7,500,000.00</w:t>
            </w:r>
          </w:p>
        </w:tc>
        <w:tc>
          <w:tcPr>
            <w:tcW w:w="1187" w:type="dxa"/>
          </w:tcPr>
          <w:p w14:paraId="0279EC7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w:t>
            </w:r>
          </w:p>
        </w:tc>
        <w:tc>
          <w:tcPr>
            <w:tcW w:w="1187" w:type="dxa"/>
          </w:tcPr>
          <w:p w14:paraId="5B32E65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批发业</w:t>
            </w:r>
          </w:p>
        </w:tc>
        <w:tc>
          <w:tcPr>
            <w:tcW w:w="1187" w:type="dxa"/>
          </w:tcPr>
          <w:p w14:paraId="6FC7119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否</w:t>
            </w:r>
          </w:p>
        </w:tc>
      </w:tr>
    </w:tbl>
    <w:p w14:paraId="778D0A2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w:t>
      </w:r>
    </w:p>
    <w:p w14:paraId="5827F0C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（1）报价要求：</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416"/>
        <w:gridCol w:w="1384"/>
        <w:gridCol w:w="1038"/>
      </w:tblGrid>
      <w:tr w14:paraId="64C18B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54D513B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3046" w:type="dxa"/>
          </w:tcPr>
          <w:p w14:paraId="41D24EE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报价内容</w:t>
            </w:r>
          </w:p>
        </w:tc>
        <w:tc>
          <w:tcPr>
            <w:tcW w:w="554" w:type="dxa"/>
          </w:tcPr>
          <w:p w14:paraId="5970C57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计量单位</w:t>
            </w:r>
          </w:p>
        </w:tc>
        <w:tc>
          <w:tcPr>
            <w:tcW w:w="554" w:type="dxa"/>
          </w:tcPr>
          <w:p w14:paraId="20ADA08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报价单位</w:t>
            </w:r>
          </w:p>
        </w:tc>
        <w:tc>
          <w:tcPr>
            <w:tcW w:w="1384" w:type="dxa"/>
          </w:tcPr>
          <w:p w14:paraId="6E3A442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最高限价</w:t>
            </w:r>
          </w:p>
        </w:tc>
        <w:tc>
          <w:tcPr>
            <w:tcW w:w="1384" w:type="dxa"/>
          </w:tcPr>
          <w:p w14:paraId="4A81620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价款形式</w:t>
            </w:r>
          </w:p>
        </w:tc>
        <w:tc>
          <w:tcPr>
            <w:tcW w:w="1038" w:type="dxa"/>
          </w:tcPr>
          <w:p w14:paraId="3ECD867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报价说明</w:t>
            </w:r>
          </w:p>
        </w:tc>
      </w:tr>
      <w:tr w14:paraId="11F5B1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60D972C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3046" w:type="dxa"/>
          </w:tcPr>
          <w:p w14:paraId="596AFFE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泰宁县教育局2026年学校食堂食材（含干货、生鲜）配送服务</w:t>
            </w:r>
          </w:p>
        </w:tc>
        <w:tc>
          <w:tcPr>
            <w:tcW w:w="554" w:type="dxa"/>
          </w:tcPr>
          <w:p w14:paraId="2B18F69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w:t>
            </w:r>
          </w:p>
        </w:tc>
        <w:tc>
          <w:tcPr>
            <w:tcW w:w="554" w:type="dxa"/>
          </w:tcPr>
          <w:p w14:paraId="27BE14A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元</w:t>
            </w:r>
          </w:p>
        </w:tc>
        <w:tc>
          <w:tcPr>
            <w:tcW w:w="1384" w:type="dxa"/>
          </w:tcPr>
          <w:p w14:paraId="17F53299">
            <w:pPr>
              <w:pStyle w:val="8"/>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7,500,000.00</w:t>
            </w:r>
          </w:p>
        </w:tc>
        <w:tc>
          <w:tcPr>
            <w:tcW w:w="1384" w:type="dxa"/>
          </w:tcPr>
          <w:p w14:paraId="0E4E274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总价</w:t>
            </w:r>
          </w:p>
        </w:tc>
        <w:tc>
          <w:tcPr>
            <w:tcW w:w="1038" w:type="dxa"/>
          </w:tcPr>
          <w:p w14:paraId="52039C0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w:t>
            </w:r>
          </w:p>
        </w:tc>
      </w:tr>
    </w:tbl>
    <w:p w14:paraId="08E6381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（2）报价明细要求：</w:t>
      </w:r>
    </w:p>
    <w:p w14:paraId="79A968F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泰宁县教育局2026年学校食堂食材（含干货、生鲜）配送服务</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2076"/>
        <w:gridCol w:w="2076"/>
        <w:gridCol w:w="416"/>
        <w:gridCol w:w="416"/>
        <w:gridCol w:w="1416"/>
        <w:gridCol w:w="831"/>
        <w:gridCol w:w="1246"/>
      </w:tblGrid>
      <w:tr w14:paraId="314FC3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3C91C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2076" w:type="dxa"/>
          </w:tcPr>
          <w:p w14:paraId="785C974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报价明细内容</w:t>
            </w:r>
          </w:p>
        </w:tc>
        <w:tc>
          <w:tcPr>
            <w:tcW w:w="2076" w:type="dxa"/>
          </w:tcPr>
          <w:p w14:paraId="1FB4E4D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报价要求</w:t>
            </w:r>
          </w:p>
        </w:tc>
        <w:tc>
          <w:tcPr>
            <w:tcW w:w="415" w:type="dxa"/>
          </w:tcPr>
          <w:p w14:paraId="2AB16C6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计量单位</w:t>
            </w:r>
          </w:p>
        </w:tc>
        <w:tc>
          <w:tcPr>
            <w:tcW w:w="415" w:type="dxa"/>
          </w:tcPr>
          <w:p w14:paraId="1DE1DD5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报价单位</w:t>
            </w:r>
          </w:p>
        </w:tc>
        <w:tc>
          <w:tcPr>
            <w:tcW w:w="831" w:type="dxa"/>
          </w:tcPr>
          <w:p w14:paraId="2C4DEAA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最高限价</w:t>
            </w:r>
          </w:p>
        </w:tc>
        <w:tc>
          <w:tcPr>
            <w:tcW w:w="831" w:type="dxa"/>
          </w:tcPr>
          <w:p w14:paraId="7E7C140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价款形式</w:t>
            </w:r>
          </w:p>
        </w:tc>
        <w:tc>
          <w:tcPr>
            <w:tcW w:w="1246" w:type="dxa"/>
          </w:tcPr>
          <w:p w14:paraId="653878C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报价说明</w:t>
            </w:r>
          </w:p>
        </w:tc>
      </w:tr>
      <w:tr w14:paraId="6879EA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71604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2076" w:type="dxa"/>
          </w:tcPr>
          <w:p w14:paraId="1436AE4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泰宁县教育局2026年学校食堂食材（含干货、生鲜）配送服务</w:t>
            </w:r>
          </w:p>
        </w:tc>
        <w:tc>
          <w:tcPr>
            <w:tcW w:w="2076" w:type="dxa"/>
          </w:tcPr>
          <w:p w14:paraId="3854FFF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泰宁县教育局2026年学校食堂食材（含干货、生鲜）配送服务</w:t>
            </w:r>
          </w:p>
        </w:tc>
        <w:tc>
          <w:tcPr>
            <w:tcW w:w="415" w:type="dxa"/>
          </w:tcPr>
          <w:p w14:paraId="5EEF3D6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w:t>
            </w:r>
          </w:p>
        </w:tc>
        <w:tc>
          <w:tcPr>
            <w:tcW w:w="415" w:type="dxa"/>
          </w:tcPr>
          <w:p w14:paraId="41BD871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元</w:t>
            </w:r>
          </w:p>
        </w:tc>
        <w:tc>
          <w:tcPr>
            <w:tcW w:w="831" w:type="dxa"/>
          </w:tcPr>
          <w:p w14:paraId="390ED834">
            <w:pPr>
              <w:pStyle w:val="8"/>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7,500,000.00</w:t>
            </w:r>
          </w:p>
        </w:tc>
        <w:tc>
          <w:tcPr>
            <w:tcW w:w="831" w:type="dxa"/>
          </w:tcPr>
          <w:p w14:paraId="61ACE8A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总价</w:t>
            </w:r>
          </w:p>
        </w:tc>
        <w:tc>
          <w:tcPr>
            <w:tcW w:w="1246" w:type="dxa"/>
          </w:tcPr>
          <w:p w14:paraId="3879C69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w:t>
            </w:r>
          </w:p>
        </w:tc>
      </w:tr>
    </w:tbl>
    <w:p w14:paraId="6C84C94A">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1894BC41">
      <w:pPr>
        <w:pStyle w:val="8"/>
        <w:jc w:val="center"/>
        <w:outlineLvl w:val="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highlight w:val="none"/>
        </w:rPr>
        <w:t>第二章 投标人须知前附表</w:t>
      </w:r>
    </w:p>
    <w:p w14:paraId="6C1EC9FE">
      <w:pPr>
        <w:pStyle w:val="8"/>
        <w:ind w:firstLine="480"/>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一、投标人须知前附表1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36"/>
        <w:gridCol w:w="1600"/>
        <w:gridCol w:w="2502"/>
        <w:gridCol w:w="3731"/>
      </w:tblGrid>
      <w:tr w14:paraId="56F8DC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69" w:type="dxa"/>
            <w:gridSpan w:val="4"/>
          </w:tcPr>
          <w:p w14:paraId="09BFC507">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特别提示：本表与招标文件对应章节的内容若不一致，以本表为准。</w:t>
            </w:r>
          </w:p>
        </w:tc>
      </w:tr>
      <w:tr w14:paraId="38B001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36" w:type="dxa"/>
          </w:tcPr>
          <w:p w14:paraId="373734E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600" w:type="dxa"/>
          </w:tcPr>
          <w:p w14:paraId="73EEF86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w:t>
            </w:r>
          </w:p>
          <w:p w14:paraId="1D114AE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（第三章）</w:t>
            </w:r>
          </w:p>
        </w:tc>
        <w:tc>
          <w:tcPr>
            <w:tcW w:w="6233" w:type="dxa"/>
            <w:gridSpan w:val="2"/>
          </w:tcPr>
          <w:p w14:paraId="69AA9E4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编列内容</w:t>
            </w:r>
          </w:p>
        </w:tc>
      </w:tr>
      <w:tr w14:paraId="5DC98A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36" w:type="dxa"/>
          </w:tcPr>
          <w:p w14:paraId="2F02966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600" w:type="dxa"/>
          </w:tcPr>
          <w:p w14:paraId="441566B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6.1</w:t>
            </w:r>
          </w:p>
        </w:tc>
        <w:tc>
          <w:tcPr>
            <w:tcW w:w="6233" w:type="dxa"/>
            <w:gridSpan w:val="2"/>
          </w:tcPr>
          <w:p w14:paraId="341FED0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是否组织现场考察或召开开标前答疑会：</w:t>
            </w:r>
          </w:p>
          <w:p w14:paraId="07F9FA0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采购包1：不组织</w:t>
            </w:r>
          </w:p>
        </w:tc>
      </w:tr>
      <w:tr w14:paraId="5B17CB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36" w:type="dxa"/>
          </w:tcPr>
          <w:p w14:paraId="6FECEC4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p>
        </w:tc>
        <w:tc>
          <w:tcPr>
            <w:tcW w:w="1600" w:type="dxa"/>
          </w:tcPr>
          <w:p w14:paraId="70D19EE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10.4</w:t>
            </w:r>
          </w:p>
        </w:tc>
        <w:tc>
          <w:tcPr>
            <w:tcW w:w="6233" w:type="dxa"/>
            <w:gridSpan w:val="2"/>
          </w:tcPr>
          <w:p w14:paraId="0A77132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投标文件的份数：</w:t>
            </w:r>
          </w:p>
          <w:p w14:paraId="3AA7E94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（1）可读介质（光盘或U盘） 0 份：投标人应将其上传至福建省政府采购网上公开信息系统的电子投标文件在该可读介质中另存 0 份。</w:t>
            </w:r>
          </w:p>
          <w:p w14:paraId="6CCE7FF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（2）电子投标文件：详见投标人须知前附表2《关于电子招标投标活动的专门规定》。</w:t>
            </w:r>
          </w:p>
        </w:tc>
      </w:tr>
      <w:tr w14:paraId="162D87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36" w:type="dxa"/>
          </w:tcPr>
          <w:p w14:paraId="478D8D2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w:t>
            </w:r>
          </w:p>
        </w:tc>
        <w:tc>
          <w:tcPr>
            <w:tcW w:w="1600" w:type="dxa"/>
          </w:tcPr>
          <w:p w14:paraId="2D580A7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10.7-（1）</w:t>
            </w:r>
          </w:p>
        </w:tc>
        <w:tc>
          <w:tcPr>
            <w:tcW w:w="6233" w:type="dxa"/>
            <w:gridSpan w:val="2"/>
          </w:tcPr>
          <w:p w14:paraId="75B82F6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是否允许中标人将本项目的非主体、非关键性工作进行分包：</w:t>
            </w:r>
          </w:p>
          <w:p w14:paraId="269D264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采购包1：{{未填写}}</w:t>
            </w:r>
          </w:p>
        </w:tc>
      </w:tr>
      <w:tr w14:paraId="6C90B1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36" w:type="dxa"/>
          </w:tcPr>
          <w:p w14:paraId="60026A4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w:t>
            </w:r>
          </w:p>
        </w:tc>
        <w:tc>
          <w:tcPr>
            <w:tcW w:w="1600" w:type="dxa"/>
          </w:tcPr>
          <w:p w14:paraId="43591D0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10.8-（1）</w:t>
            </w:r>
          </w:p>
        </w:tc>
        <w:tc>
          <w:tcPr>
            <w:tcW w:w="6233" w:type="dxa"/>
            <w:gridSpan w:val="2"/>
          </w:tcPr>
          <w:p w14:paraId="100669C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投标有效期：投标截止时间起 90 个日历日。</w:t>
            </w:r>
          </w:p>
        </w:tc>
      </w:tr>
      <w:tr w14:paraId="0A7423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36" w:type="dxa"/>
          </w:tcPr>
          <w:p w14:paraId="1C5F8F6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w:t>
            </w:r>
          </w:p>
        </w:tc>
        <w:tc>
          <w:tcPr>
            <w:tcW w:w="1600" w:type="dxa"/>
          </w:tcPr>
          <w:p w14:paraId="2A84DB2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12.1</w:t>
            </w:r>
          </w:p>
        </w:tc>
        <w:tc>
          <w:tcPr>
            <w:tcW w:w="6233" w:type="dxa"/>
            <w:gridSpan w:val="2"/>
          </w:tcPr>
          <w:p w14:paraId="66F7D08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确定中标候选人名单：</w:t>
            </w:r>
          </w:p>
          <w:p w14:paraId="36FD956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采购包1：3名</w:t>
            </w:r>
          </w:p>
        </w:tc>
      </w:tr>
      <w:tr w14:paraId="457A93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36" w:type="dxa"/>
          </w:tcPr>
          <w:p w14:paraId="5FE3E0B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w:t>
            </w:r>
          </w:p>
        </w:tc>
        <w:tc>
          <w:tcPr>
            <w:tcW w:w="1600" w:type="dxa"/>
          </w:tcPr>
          <w:p w14:paraId="46BB1C2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12.2</w:t>
            </w:r>
          </w:p>
        </w:tc>
        <w:tc>
          <w:tcPr>
            <w:tcW w:w="6233" w:type="dxa"/>
            <w:gridSpan w:val="2"/>
          </w:tcPr>
          <w:p w14:paraId="75F025D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本项目中标人的确定（以采购包为单位）：</w:t>
            </w:r>
          </w:p>
          <w:p w14:paraId="6FDAB56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 采购人应在政府采购招投标管理办法规定的时限内确定中标人。</w:t>
            </w:r>
          </w:p>
          <w:p w14:paraId="15C0ABD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（2）若出现中标候选人并列情形，则按照下列方式确定中标人：</w:t>
            </w:r>
          </w:p>
          <w:p w14:paraId="0FB4DB8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①招标文件规定的方式：</w:t>
            </w:r>
          </w:p>
          <w:p w14:paraId="797C58E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标候选人并列的，则按“价格部分”的得分高低排序；若价格得分相同则按“技术部分”的得分高低排序；若评审得分相同且价格部分与技术部分得分也相同的，则按“商务部分”的得分高低排序；若评审得分相同、价格部分得分相同且技术部分得分与商务部分得分也相同的，则采取随机抽取方式确定。</w:t>
            </w:r>
          </w:p>
          <w:p w14:paraId="600659C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②若本款第①点规定方式为“无”，则按照下列方式确定：</w:t>
            </w:r>
          </w:p>
          <w:p w14:paraId="688BAC1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w:t>
            </w:r>
          </w:p>
          <w:p w14:paraId="4BF6E5A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③若本款第①、②点规定方式均为“无”，则按照下列方式确定：随机抽取。</w:t>
            </w:r>
          </w:p>
          <w:p w14:paraId="14ED58E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（3）本项目确定的中标人家数：</w:t>
            </w:r>
          </w:p>
          <w:p w14:paraId="48D1EC2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采购包1：1名</w:t>
            </w:r>
          </w:p>
        </w:tc>
      </w:tr>
      <w:tr w14:paraId="5214E8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36" w:type="dxa"/>
          </w:tcPr>
          <w:p w14:paraId="216C613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w:t>
            </w:r>
          </w:p>
        </w:tc>
        <w:tc>
          <w:tcPr>
            <w:tcW w:w="1600" w:type="dxa"/>
          </w:tcPr>
          <w:p w14:paraId="6AD91C8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13.2</w:t>
            </w:r>
          </w:p>
        </w:tc>
        <w:tc>
          <w:tcPr>
            <w:tcW w:w="6233" w:type="dxa"/>
            <w:gridSpan w:val="2"/>
          </w:tcPr>
          <w:p w14:paraId="0F1A1E6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合同签订时限： 自中标通知书发出之日起30个日历日内。</w:t>
            </w:r>
          </w:p>
        </w:tc>
      </w:tr>
      <w:tr w14:paraId="5D9B21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36" w:type="dxa"/>
          </w:tcPr>
          <w:p w14:paraId="27E6E99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w:t>
            </w:r>
          </w:p>
        </w:tc>
        <w:tc>
          <w:tcPr>
            <w:tcW w:w="1600" w:type="dxa"/>
          </w:tcPr>
          <w:p w14:paraId="37BDE1A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15.1-（2）</w:t>
            </w:r>
          </w:p>
        </w:tc>
        <w:tc>
          <w:tcPr>
            <w:tcW w:w="6233" w:type="dxa"/>
            <w:gridSpan w:val="2"/>
          </w:tcPr>
          <w:p w14:paraId="7B2EC9F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质疑函原件应采用下列方式提交：书面形式。</w:t>
            </w:r>
          </w:p>
        </w:tc>
      </w:tr>
      <w:tr w14:paraId="56559E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36" w:type="dxa"/>
          </w:tcPr>
          <w:p w14:paraId="18523EC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w:t>
            </w:r>
          </w:p>
        </w:tc>
        <w:tc>
          <w:tcPr>
            <w:tcW w:w="1600" w:type="dxa"/>
          </w:tcPr>
          <w:p w14:paraId="1A3BA07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15.4</w:t>
            </w:r>
          </w:p>
        </w:tc>
        <w:tc>
          <w:tcPr>
            <w:tcW w:w="6233" w:type="dxa"/>
            <w:gridSpan w:val="2"/>
          </w:tcPr>
          <w:p w14:paraId="271466F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招标文件的质疑</w:t>
            </w:r>
          </w:p>
          <w:p w14:paraId="6A984FBD">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（1）潜在投标人可在质疑时效期间内对招标文件以书面形式提出质疑。</w:t>
            </w:r>
          </w:p>
          <w:p w14:paraId="59D201B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（2）质疑时效期间：应在依法获取招标文件之日起7个工作日内向 三明华建招标代理有限公司 提出，依法获取招标文件的时间以福建省政府采购网上公开信息系统记载的为准。</w:t>
            </w:r>
          </w:p>
          <w:p w14:paraId="7671EC87">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※除上述规定外，对招标文件提出的质疑还应符合招标文件第三章第15.1条的有关规定。</w:t>
            </w:r>
          </w:p>
        </w:tc>
      </w:tr>
      <w:tr w14:paraId="036B32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36" w:type="dxa"/>
          </w:tcPr>
          <w:p w14:paraId="65A68F8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w:t>
            </w:r>
          </w:p>
        </w:tc>
        <w:tc>
          <w:tcPr>
            <w:tcW w:w="1600" w:type="dxa"/>
          </w:tcPr>
          <w:p w14:paraId="56DE0E3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16.1</w:t>
            </w:r>
          </w:p>
        </w:tc>
        <w:tc>
          <w:tcPr>
            <w:tcW w:w="6233" w:type="dxa"/>
            <w:gridSpan w:val="2"/>
          </w:tcPr>
          <w:p w14:paraId="09C723F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监督管理部门： 泰宁县财政局采购监督管理办公室 （仅限依法进行政府采购的货物或服务类项目）。</w:t>
            </w:r>
          </w:p>
        </w:tc>
      </w:tr>
      <w:tr w14:paraId="4DDEA1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36" w:type="dxa"/>
          </w:tcPr>
          <w:p w14:paraId="0E756C6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w:t>
            </w:r>
          </w:p>
        </w:tc>
        <w:tc>
          <w:tcPr>
            <w:tcW w:w="1600" w:type="dxa"/>
          </w:tcPr>
          <w:p w14:paraId="44EDDBC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18.1</w:t>
            </w:r>
          </w:p>
        </w:tc>
        <w:tc>
          <w:tcPr>
            <w:tcW w:w="6233" w:type="dxa"/>
            <w:gridSpan w:val="2"/>
          </w:tcPr>
          <w:p w14:paraId="282B44C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财政部和福建省财政厅指定的政府采购信息发布媒体（以下简称：“指定媒体”）：</w:t>
            </w:r>
          </w:p>
          <w:p w14:paraId="16BCCC4D">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（1）中国政府采购网，网址www.ccgp.gov.cn。</w:t>
            </w:r>
          </w:p>
          <w:p w14:paraId="638A32CD">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（2）中国政府采购网福建分网（福建省政府采购网），网址zfcg.czt.fujian.gov.cn。</w:t>
            </w:r>
          </w:p>
          <w:p w14:paraId="5073B56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※若出现上述指定媒体信息不一致情形，应以中国政府采购网福建分网（福建省政府采购网）发布的为准。</w:t>
            </w:r>
          </w:p>
        </w:tc>
      </w:tr>
      <w:tr w14:paraId="406E93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36" w:type="dxa"/>
          </w:tcPr>
          <w:p w14:paraId="5835519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w:t>
            </w:r>
          </w:p>
        </w:tc>
        <w:tc>
          <w:tcPr>
            <w:tcW w:w="1600" w:type="dxa"/>
          </w:tcPr>
          <w:p w14:paraId="57E3CFF7">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w:t>
            </w:r>
          </w:p>
        </w:tc>
        <w:tc>
          <w:tcPr>
            <w:tcW w:w="6233" w:type="dxa"/>
            <w:gridSpan w:val="2"/>
          </w:tcPr>
          <w:p w14:paraId="22046C8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其他事项：</w:t>
            </w:r>
          </w:p>
          <w:p w14:paraId="2B4BBF17">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(1)本项目代理服务费：</w:t>
            </w:r>
          </w:p>
          <w:p w14:paraId="52354E7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本项目收取代理服务费</w:t>
            </w:r>
          </w:p>
          <w:p w14:paraId="19A5D9D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代理服务费用收取对象：中标/成交供应商</w:t>
            </w:r>
          </w:p>
          <w:p w14:paraId="28FF934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代理服务费收费标准：①按合同包的中标金额差额定率分档累进法计算下浮20%后向中标人收取。②以采购包的中标总金额为准，按差额定率累进法计取，具体按以下标准计取：中标总金额100万以内的：按中标总金额的1.5%计取。中标总金额超过100万的：其中100万按1.5%计取；100万-500万部分按0.8%计取，500万-1000万部分按0.5%计取。</w:t>
            </w:r>
          </w:p>
          <w:p w14:paraId="4F3387D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(2)其他：</w:t>
            </w:r>
          </w:p>
          <w:p w14:paraId="57BD506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投标人在递交质疑函时除应提供本招标文件规定的相关材料外，还须提供福建省政府采购网上公开信息系统本项目的获取采购文件回执单复印件，否则递交的质疑函将不予受理。在法定质疑期内质疑人须一次性提出针对同一采购程序环节的质疑，二（多）次质疑不予受理。②中标人在中标通知书的规定时间内发起合同送采购人确认，双方盖章进行合同公开。③a.通过远程参与开标流程的供应商，投标人可远程线上解密（相关操作手册可查看福建省政府采购网首页操作指南），现场参与开标流程的投标人请携带CA证书到开标现场进行解密，选择携带CA证书并由代理机构进行解密的应在投标截止时间前到达开标现场，否则不予接收。投标人选择远程线上解密的，无须将CA证书送至开标地点。b.投标人不到开标现场的，请在开标时自行登录采购系统，线上参与开标流程，并按规定在相应时段对响应文件进行远程解密、远程签章。c.投标人应确保自身设施、设备、网络环境状况良好，在操作过程中因投标人自身原因造成无法正常观看开标流程、远程解密或签章的，后果由投标人自行承担。d.在规定的时间内正确提交电子投标文件的供应商在开标时将由系统判定签到情况，投标人应在远程解密开启后在规定时间内使用CA数字证书进行响应文件的解密操作，逾期未解密的视为自行放弃投标。e.开标结束后，投标人应当对开标结果进行签章，并在远程签章开放后的规定时间内完成，逾期未签章的视为认同开标结果。f.远程解密及远程签章的开放起始时间均在开标过程中临时开启，各环节的解密、签章时限规定为30分钟，请投标人务必密切关注实时开标流程，并根据流程在系统内按时操作，否则产生的后果由投标人自行承担。</w:t>
            </w:r>
          </w:p>
        </w:tc>
      </w:tr>
      <w:tr w14:paraId="1DF644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38" w:type="dxa"/>
            <w:gridSpan w:val="3"/>
          </w:tcPr>
          <w:p w14:paraId="4BAA720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w:t>
            </w:r>
          </w:p>
        </w:tc>
        <w:tc>
          <w:tcPr>
            <w:tcW w:w="3731" w:type="dxa"/>
          </w:tcPr>
          <w:p w14:paraId="7B61FE0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后有投标人须知前附表2，请勿遗漏。</w:t>
            </w:r>
          </w:p>
        </w:tc>
      </w:tr>
    </w:tbl>
    <w:p w14:paraId="6948BDD3">
      <w:pPr>
        <w:pStyle w:val="8"/>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二、投标人须知前附表2</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6"/>
        <w:gridCol w:w="7950"/>
      </w:tblGrid>
      <w:tr w14:paraId="285E6D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6" w:type="dxa"/>
            <w:gridSpan w:val="2"/>
          </w:tcPr>
          <w:p w14:paraId="5510033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关于电子招标投标活动的专门规定</w:t>
            </w:r>
          </w:p>
        </w:tc>
      </w:tr>
      <w:tr w14:paraId="1A0645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386" w:type="dxa"/>
          </w:tcPr>
          <w:p w14:paraId="785A055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7950" w:type="dxa"/>
          </w:tcPr>
          <w:p w14:paraId="49C0FDB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编列内容</w:t>
            </w:r>
          </w:p>
        </w:tc>
      </w:tr>
      <w:tr w14:paraId="08CD57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6" w:type="dxa"/>
          </w:tcPr>
          <w:p w14:paraId="75392AE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7950" w:type="dxa"/>
          </w:tcPr>
          <w:p w14:paraId="403529F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（1）电子招标投标活动的专门规定适用本项目电子招标投标活动。</w:t>
            </w:r>
          </w:p>
          <w:p w14:paraId="38B0C00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（2）将招标文件</w:t>
            </w:r>
          </w:p>
          <w:p w14:paraId="52D9886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 的内容修正为下列内容：</w:t>
            </w:r>
          </w:p>
          <w:p w14:paraId="2614B55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 后适用本项目的电子招标投标活动。</w:t>
            </w:r>
          </w:p>
          <w:p w14:paraId="3082B01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（3）将下列内容增列为招标文件的组成部分（以下简称：“增列内容”）适用本项目的电子招标投标活动，若增列内容与招标文件其他章节内容有冲突，应以增列内容为准：</w:t>
            </w:r>
          </w:p>
          <w:p w14:paraId="4C2F93D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①电子招标投标活动的具体操作流程以福建省政府采购网上公开信息系统设定的为准。</w:t>
            </w:r>
          </w:p>
          <w:p w14:paraId="0F84E7F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②关于电子投标文件：</w:t>
            </w:r>
          </w:p>
          <w:p w14:paraId="61F00A2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a.投标人应按照福建省政府采购网上公开信息系统设定的评审节点编制电子投标文件，否则资格审查小组、评标委员会将按照不利于投标人的内容进行认定。</w:t>
            </w:r>
          </w:p>
          <w:p w14:paraId="4C422B4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投标人应在投标截止时间前按照福建省政府采购网上公开信息系统设定的操作流程将电子投标文件1份上传至福建省政府采购网上公开信息系统。电子投标文件的投标（响应）报价明细表、投标客户端的投标（响应）报价明细表应保持一致，并以投标客户端的投标（响应）报价明细表为准。</w:t>
            </w:r>
          </w:p>
          <w:p w14:paraId="7BF90C4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③关于证明材料或资料：</w:t>
            </w:r>
          </w:p>
          <w:p w14:paraId="5C51851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14:paraId="28FDA8F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b.若投标人提供注明“复印件无效”或“复印无效”的证明材料或资料，应结合上文a条款进行判定，若招标文件未要求投标人提供原件，投标人提供原件，复印件（含扫描件）均视为满足招标文件要求。</w:t>
            </w:r>
          </w:p>
          <w:p w14:paraId="795243C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④关于“全称”、“投标人代表签字”及“加盖单位公章”：</w:t>
            </w:r>
          </w:p>
          <w:p w14:paraId="3072921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a.在电子投标文件中，涉及“全称”和“投标人代表签字”的内容可使用打字录入方式完成。</w:t>
            </w:r>
          </w:p>
          <w:p w14:paraId="0DF1EC5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b.在电子投标文件中，涉及“加盖单位公章”的内容应使用投标人的CA证书完成，否则投标无效。</w:t>
            </w:r>
          </w:p>
          <w:p w14:paraId="75B837C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c.在电子投标文件中，若投标人按照本增列内容第④点第b项规定加盖其单位公章，则出现无全称、或投标人代表未签字等情形，不视为投标无效。</w:t>
            </w:r>
          </w:p>
          <w:p w14:paraId="784B059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⑤关于投标人的CA证书：</w:t>
            </w:r>
          </w:p>
          <w:p w14:paraId="4002E27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a.投标人的CA证书应在系统规定时间内使用CA证书进行电子投标文件的解密操作，逾期未解密的视为放弃投标。</w:t>
            </w:r>
          </w:p>
          <w:p w14:paraId="07A5F65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b.投标人的CA证书可采用信封（包括但不限于：信封、档案袋、文件袋等）作为外包装进行单独包装。外包装密封、不密封皆可。</w:t>
            </w:r>
          </w:p>
          <w:p w14:paraId="250D81B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c.投标人的CA证书或外包装应标记“项目名称、项目编号、投标人的全称”等内容，以方便识别、使用。</w:t>
            </w:r>
          </w:p>
          <w:p w14:paraId="129889F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d.投标人的CA证书应能正常、有效使用，否则产生不利后果由投标人承担责任。</w:t>
            </w:r>
          </w:p>
          <w:p w14:paraId="2E54C097">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⑥关于投标截止时间过后</w:t>
            </w:r>
          </w:p>
          <w:p w14:paraId="794744F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a.未按招标文件规定提交投标保证金的，其投标将按无效投标处理。</w:t>
            </w:r>
          </w:p>
          <w:p w14:paraId="002D53E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b.有下列情形之一的，其投标无效,其保证金不予退还或通过投标保函进行索赔：</w:t>
            </w:r>
          </w:p>
          <w:p w14:paraId="2626730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b1不同投标人的电子投标文件具有相同内部识别码；</w:t>
            </w:r>
          </w:p>
          <w:p w14:paraId="089D810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b2不同投标人的投标保证金从同一单位或个人的账户转出；</w:t>
            </w:r>
          </w:p>
          <w:p w14:paraId="746BFF8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b3投标人的投标保证金同一采购包下有其他投标人提交的投标保证金；</w:t>
            </w:r>
          </w:p>
          <w:p w14:paraId="441B227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b4不同投标人存在串通投标的其他情形。</w:t>
            </w:r>
          </w:p>
          <w:p w14:paraId="7E11A3A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⑦接受联合体投标且投标人为联合体的，投标人应由“联合体牵头方”完成福建省政府采购网上公开信息系统设定的具体操作流程（包括但不限于：招标文件获取、提交投标保证金、编制电子投标文件等）。</w:t>
            </w:r>
          </w:p>
          <w:p w14:paraId="283DB8A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⑧其他：</w:t>
            </w:r>
          </w:p>
          <w:p w14:paraId="3A3C1F9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电子化招标项目视为串通情形的认定 （一）保证金验核阶段 不同供应商的投标保证金转出账户的银行账户名称相同的，属于《政府采购货物和服务招标投标管理办法》（财政部令第87号）第三十七条第（六）项“不同供应商的投标保证金从同一单位或者个人的账户转出”的情形。 （二）电子投标文件解密阶段 电子投标文件的个性特征与本采购项目的其他响应人存在雷同的，按照以下方式进行认定： 1.供应商上传电子投标文件被福建省政府采购网上公开信息系统投标客户端所赋予的项目内部识别码与本招标项目的其他供应商相同的，属于《政府采购货物和服务招标投标管理办法》（财政部令第87号）第三十七条第（一）项“不同供应商的投标文件由同一单位或者个人编制”的情形。 2.系统记录的编制电子投标文件使用的计算机或上传电子投标文件使用的计算机网卡MAC地址与本招标项目的其他供应商一致的，属于《政府采购货物和服务招标投标管理办法》（财政部令第87号）第三十七条第（二）项“不同供应商委托同一单位或者个人办理投标事宜”的情形。 3.供应商上传的电子投标文件若出现使用本项目其他供应商的数字证书加密的或加盖本项目的其他供应商的电子印章的，属于《政府采购货物和服务招标投标管理办法》（财政部令第87号）第三十七条第（五）项“不同供应商的投标文件相互混装”的情形。在开标过程中，发现投标（响应）人有上述情形的，采购人、采购代理机构应当根据采购文件认定串通行为，认定其投标（响应）无效，没收其保证金，并书面报告本级财政部门；在评审过程中发现投标（响应）人有上述情形的，资格审查小组或评标委员会应当根据采购文件认定串通行为，认定其投标（响应）无效，没收其保证金，并书面报告本级财政部门。各级财政部门收到书面报告的，应当组织开展调查，并依法追究法律责任。</w:t>
            </w:r>
          </w:p>
        </w:tc>
      </w:tr>
    </w:tbl>
    <w:p w14:paraId="7FECA14A">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3EB8D871">
      <w:pPr>
        <w:pStyle w:val="8"/>
        <w:jc w:val="center"/>
        <w:outlineLvl w:val="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highlight w:val="none"/>
        </w:rPr>
        <w:t>第三章 投标人须知</w:t>
      </w:r>
    </w:p>
    <w:p w14:paraId="240FCEE4">
      <w:pPr>
        <w:pStyle w:val="8"/>
        <w:ind w:firstLine="480"/>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一、总则</w:t>
      </w:r>
    </w:p>
    <w:p w14:paraId="3673038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1、适用范围</w:t>
      </w:r>
    </w:p>
    <w:p w14:paraId="732895B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1.1适用于招标文件载明项目的政府采购活动（以下简称：“本次采购活动”）。</w:t>
      </w:r>
    </w:p>
    <w:p w14:paraId="191B299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2、定义</w:t>
      </w:r>
    </w:p>
    <w:p w14:paraId="22AFBCF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2.1“采购标的”指招标文件载明的需要采购的货物或服务。</w:t>
      </w:r>
    </w:p>
    <w:p w14:paraId="596B48B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2.2“潜在投标人”指按照招标文件第一章第7条规定获取招标文件且有意向参加本项目投标的供应商。</w:t>
      </w:r>
    </w:p>
    <w:p w14:paraId="3E6C4E8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2.3“投标人”指按照招标文件第一章第7条规定获取招标文件并参加本项目投标的供应商。</w:t>
      </w:r>
    </w:p>
    <w:p w14:paraId="278950B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2.4“单位负责人”指单位法定代表人或法律、法规规定代表单位行使职权的主要负责人。</w:t>
      </w:r>
    </w:p>
    <w:p w14:paraId="6DC8A31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2.5“投标人代表”指投标人的单位负责人或“单位负责人授权书”中载明的接受授权方。</w:t>
      </w:r>
    </w:p>
    <w:p w14:paraId="7913CA9E">
      <w:pPr>
        <w:pStyle w:val="8"/>
        <w:ind w:firstLine="480"/>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二、投标人</w:t>
      </w:r>
    </w:p>
    <w:p w14:paraId="574B2E8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3、合格投标人</w:t>
      </w:r>
    </w:p>
    <w:p w14:paraId="7048515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3.1一般规定</w:t>
      </w:r>
    </w:p>
    <w:p w14:paraId="2856998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应遵守政府采购法及实施条例、政府采购招投标管理办法、政府采购质疑和投诉办法及财政部、福建省财政厅有关政府采购文件的规定，同时还应遵守《中华人民共和国劳动合同法》有关规定和《中华人民共和国妇女权益保障法》中关于“劳动和社会保障权益”的有关要求以及其他有关法律、法规和规章的强制性规定。</w:t>
      </w:r>
    </w:p>
    <w:p w14:paraId="7C2A080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对提供福建省政府采购供应商资格承诺函及所承诺事项的真实性、合法性及有效性负责，并已知晓所提供资格承诺函内容不实的，可能涉嫌《中华人民共和国政府采购法》第七十七条第一款第(一)项规定的“提供虚假材料谋取中标成交”违法情形。经调查属实的，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196504A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（2）投标人的资格要求：详见招标文件第一章。</w:t>
      </w:r>
    </w:p>
    <w:p w14:paraId="17C7F45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3.2若本项目接受联合体投标且投标人为联合体，则联合体各方应遵守本章第3.1条规定，同时还应遵守下列规定：</w:t>
      </w:r>
    </w:p>
    <w:p w14:paraId="12BB523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（1）联合体各方应提交联合体协议，联合体协议应符合招标文件规定。</w:t>
      </w:r>
    </w:p>
    <w:p w14:paraId="146F18D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（2）联合体各方不得再单独参加或与其他供应商另外组成联合体参加同一合同项下的投标。</w:t>
      </w:r>
    </w:p>
    <w:p w14:paraId="09146A2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（3）联合体各方应共同与采购人签订政府采购合同，就政府采购合同约定的事项对采购人承担连带责任。</w:t>
      </w:r>
    </w:p>
    <w:p w14:paraId="7C3607F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14:paraId="2FC1ADD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（5）联合体一方放弃中标的，视为联合体整体放弃中标，联合体各方承担连带责任。</w:t>
      </w:r>
    </w:p>
    <w:p w14:paraId="731A124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（6）如本项目不接受联合体投标而投标人为联合体的，或者本项目接受联合体投标但投标人组成的联合体不符合本章第3.2条规定的，投标无效。</w:t>
      </w:r>
    </w:p>
    <w:p w14:paraId="296EC08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4、投标费用</w:t>
      </w:r>
    </w:p>
    <w:p w14:paraId="5D0ACB2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4.1除招标文件另有规定外，投标人应自行承担其参加本项目投标所涉及的一切费用。</w:t>
      </w:r>
    </w:p>
    <w:p w14:paraId="48EBC9FA">
      <w:pPr>
        <w:pStyle w:val="8"/>
        <w:ind w:firstLine="480"/>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三、招标</w:t>
      </w:r>
    </w:p>
    <w:p w14:paraId="113DF99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5、招标文件</w:t>
      </w:r>
    </w:p>
    <w:p w14:paraId="2EA9415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5.1招标文件由下述部分组成：</w:t>
      </w:r>
    </w:p>
    <w:p w14:paraId="566DBB8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（1）投标邀请</w:t>
      </w:r>
    </w:p>
    <w:p w14:paraId="3715233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（2）投标人须知前附表（表1、2）</w:t>
      </w:r>
    </w:p>
    <w:p w14:paraId="4C2C4C6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（3）投标人须知</w:t>
      </w:r>
    </w:p>
    <w:p w14:paraId="6E10C8F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（4）资格审查与评标</w:t>
      </w:r>
    </w:p>
    <w:p w14:paraId="7CE17FF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（5）招标内容及要求</w:t>
      </w:r>
    </w:p>
    <w:p w14:paraId="055B1EB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（6）政府采购合同（参考文本）</w:t>
      </w:r>
    </w:p>
    <w:p w14:paraId="529A6B9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（7）电子投标文件格式</w:t>
      </w:r>
    </w:p>
    <w:p w14:paraId="7CC7154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（8）按照招标文件规定作为招标文件组成部分的其他内容（若有）</w:t>
      </w:r>
    </w:p>
    <w:p w14:paraId="4EF85C5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5.2招标文件的澄清或修改</w:t>
      </w:r>
    </w:p>
    <w:p w14:paraId="1A45AEE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 三明华建招标代理有限公司 可对已发出的招标文件进行必要的澄清或修改，但不得对招标文件载明的采购标的和投标人的资格要求进行改变。</w:t>
      </w:r>
    </w:p>
    <w:p w14:paraId="4C78A6D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（2）除本章第5.2条第（3）款规定情形外，澄清或修改的内容可能影响电子投标文件编制的， 三明华建招标代理有限公司 将在投标截止时间至少15个日历日前，在招标文件载明的指定媒体以更正公告的形式发布澄清或修改的内容。不足15个日历日的， 三明华建招标代理有限公司 将顺延投标截止时间及开标时间， 三明华建招标代理有限公司 和投标人受原投标截止时间及开标时间制约的所有权利和义务均延长至新的投标截止时间及开标时间。</w:t>
      </w:r>
    </w:p>
    <w:p w14:paraId="4921656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（3）澄清或修改的内容可能改变招标文件载明的采购标的和投标人的资格要求的，本次采购活动结束， 三明华建招标代理有限公司 将依法组织后续采购活动（包括但不限于：重新招标、采用其他方式采购等）。</w:t>
      </w:r>
    </w:p>
    <w:p w14:paraId="176EE9F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6、现场考察或开标前答疑会</w:t>
      </w:r>
    </w:p>
    <w:p w14:paraId="6B07D35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6.1是否组织现场考察或召开开标前答疑会：详见招标文件第二章。</w:t>
      </w:r>
    </w:p>
    <w:p w14:paraId="2B8B6B6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7、更正公告</w:t>
      </w:r>
    </w:p>
    <w:p w14:paraId="5B8A6A1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7.1若 三明华建招标代理有限公司 发布更正公告，则更正公告及其所发布的内容或信息（包括但不限于：招标文件的澄清或修改、现场考察或答疑会的有关事宜等）作为招标文件组成部分，对投标人具有约束力。</w:t>
      </w:r>
    </w:p>
    <w:p w14:paraId="623F9DA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7.2更正公告作为 三明华建招标代理有限公司 通知所有潜在投标人的书面形式。</w:t>
      </w:r>
    </w:p>
    <w:p w14:paraId="62AAC35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8、终止公告</w:t>
      </w:r>
    </w:p>
    <w:p w14:paraId="424008A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8.1若出现因重大变故导致采购任务取消情形， 三明华建招标代理有限公司 可终止招标并发布终止公告。</w:t>
      </w:r>
    </w:p>
    <w:p w14:paraId="0BC51AE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8.2终止公告作为 三明华建招标代理有限公司 通知所有潜在投标人的书面形式。</w:t>
      </w:r>
    </w:p>
    <w:p w14:paraId="02907144">
      <w:pPr>
        <w:pStyle w:val="8"/>
        <w:ind w:firstLine="480"/>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四、投标</w:t>
      </w:r>
    </w:p>
    <w:p w14:paraId="097C458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9、投标</w:t>
      </w:r>
    </w:p>
    <w:p w14:paraId="760CCD6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9.1投标人可对招标文件载明的全部或部分采购包进行投标。</w:t>
      </w:r>
    </w:p>
    <w:p w14:paraId="3363885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9.2投标人应对同一个采购包内的所有内容进行完整投标，否则投标无效。</w:t>
      </w:r>
    </w:p>
    <w:p w14:paraId="352966F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9.3投标人代表只能接受一个投标人的授权参加投标，否则投标无效。</w:t>
      </w:r>
    </w:p>
    <w:p w14:paraId="42ADDD9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9.4单位负责人为同一人或存在直接控股、管理关系的不同供应商，不得同时参加同一合同项下的投标，否则投标无效。</w:t>
      </w:r>
    </w:p>
    <w:p w14:paraId="33CEB83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9.5为本项目提供整体设计、规范编制或项目管理、监理、检测等服务的供应商，不得参加本项目除整体设计、规范编制和项目管理、监理、检测等服务外的采购活动，否则投标无效。</w:t>
      </w:r>
    </w:p>
    <w:p w14:paraId="158243F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9.6列入失信被执行人、重大税收违法案件当事人名单、政府采购严重违法失信行为记录名单及其他不符合政府采购法第二十二条规定条件的供应商，不得参加投标，否则投标无效。</w:t>
      </w:r>
    </w:p>
    <w:p w14:paraId="3F3EF7A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9.7有下列情形之一的，视为投标人串通投标，其投标无效：</w:t>
      </w:r>
    </w:p>
    <w:p w14:paraId="5EBD38A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（1）不同投标人的电子投标文件由同一单位或个人编制；</w:t>
      </w:r>
    </w:p>
    <w:p w14:paraId="0C67888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（2）不同投标人委托同一单位或个人办理投标事宜；</w:t>
      </w:r>
    </w:p>
    <w:p w14:paraId="6C2EEFD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（3）不同投标人的电子投标文件载明的项目管理成员或联系人员为同一人；</w:t>
      </w:r>
    </w:p>
    <w:p w14:paraId="3153BB6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（4）不同投标人的电子投标文件异常一致或投标报价呈规律性差异；</w:t>
      </w:r>
    </w:p>
    <w:p w14:paraId="7C71115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（5）不同投标人的电子投标文件相互混装；</w:t>
      </w:r>
    </w:p>
    <w:p w14:paraId="1F77F0B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（6）不同投标人的投标保证金从同一单位或个人的账户转出；</w:t>
      </w:r>
    </w:p>
    <w:p w14:paraId="52ABC0B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（7）有关法律、法规和规章及招标文件规定的其他串通投标情形。</w:t>
      </w:r>
    </w:p>
    <w:p w14:paraId="50AAC15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10、电子投标文件</w:t>
      </w:r>
    </w:p>
    <w:p w14:paraId="35360B3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10.1电子投标文件的编制</w:t>
      </w:r>
    </w:p>
    <w:p w14:paraId="79417F0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（1）投标人应先仔细阅读招标文件的全部内容后，再进行电子投标文件的编制。</w:t>
      </w:r>
    </w:p>
    <w:p w14:paraId="3F20689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（2）电子投标文件应按照本章第10.2条规定编制其组成部分。</w:t>
      </w:r>
    </w:p>
    <w:p w14:paraId="6BB0760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（3）电子投标文件应满足招标文件提出的实质性要求和条件，并保证其所提交的全部资料是不可割离且真实、有效、准确、完整和不具有任何误导性的，否则造成不利后果由投标人承担责任。</w:t>
      </w:r>
    </w:p>
    <w:p w14:paraId="22B4DF83">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10.2电子投标文件由下述部分组成：</w:t>
      </w:r>
    </w:p>
    <w:p w14:paraId="483D652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（1）资格及资信证明部分</w:t>
      </w:r>
    </w:p>
    <w:p w14:paraId="4F59D5F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①投标函</w:t>
      </w:r>
    </w:p>
    <w:p w14:paraId="7DBA29B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②投标人的资格及资信证明文件</w:t>
      </w:r>
    </w:p>
    <w:p w14:paraId="15E4E2C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③投标保证金</w:t>
      </w:r>
    </w:p>
    <w:p w14:paraId="4F93AB4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（2）报价部分</w:t>
      </w:r>
    </w:p>
    <w:p w14:paraId="23816D4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①开标（报价）一览表</w:t>
      </w:r>
    </w:p>
    <w:p w14:paraId="6CE7B43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②投标（响应）报价明细表</w:t>
      </w:r>
    </w:p>
    <w:p w14:paraId="22F401C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③招标文件规定的价格扣除证明材料（若有）</w:t>
      </w:r>
    </w:p>
    <w:p w14:paraId="6B94CFB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④招标文件规定的加分证明材料（若有）</w:t>
      </w:r>
    </w:p>
    <w:p w14:paraId="1D4DCF7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（3）技术商务部分</w:t>
      </w:r>
    </w:p>
    <w:p w14:paraId="5063040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①标的说明一览表</w:t>
      </w:r>
    </w:p>
    <w:p w14:paraId="1297533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②技术和服务要求响应表</w:t>
      </w:r>
    </w:p>
    <w:p w14:paraId="144D1AF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③商务条件响应表</w:t>
      </w:r>
    </w:p>
    <w:p w14:paraId="617D83D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④投标人提交的其他资料（若有）</w:t>
      </w:r>
    </w:p>
    <w:p w14:paraId="6BE9AAC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⑤招标文件规定作为电子投标文件组成部分的其他内容（若有）</w:t>
      </w:r>
    </w:p>
    <w:p w14:paraId="3AD3D86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10.3电子投标文件的语言</w:t>
      </w:r>
    </w:p>
    <w:p w14:paraId="19529D8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（1）除招标文件另有规定外，电子投标文件应使用中文文本，若有不同文本，以中文文本为准。</w:t>
      </w:r>
    </w:p>
    <w:p w14:paraId="7B2DFB7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5841158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10.4投标文件的份数：详见招标文件第二章。</w:t>
      </w:r>
    </w:p>
    <w:p w14:paraId="6CDF4DA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10.5电子投标文件的格式</w:t>
      </w:r>
    </w:p>
    <w:p w14:paraId="6FBD9A1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（1）除招标文件另有规定外，电子投标文件应使用招标文件第七章规定的格式。</w:t>
      </w:r>
    </w:p>
    <w:p w14:paraId="7A939FA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（2）除招标文件另有规定外，电子投标文件应使用不能擦去的墨料或墨水打印、书写或复印。</w:t>
      </w:r>
    </w:p>
    <w:p w14:paraId="303532C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（3）除招标文件另有规定外，电子投标文件应使用人民币作为计量货币。</w:t>
      </w:r>
    </w:p>
    <w:p w14:paraId="2F8857D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（4）除招标文件另有规定外，签署、盖章应遵守下列规定：</w:t>
      </w:r>
    </w:p>
    <w:p w14:paraId="38A153C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①电子投标文件应加盖投标人的单位公章。若投标人代表为单位授权的委托代理人，应提供“单位授权书”。</w:t>
      </w:r>
    </w:p>
    <w:p w14:paraId="21054A8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②电子投标文件应没有涂改或行间插字，除非这些改动是根据 三明华建招标代理有限公司 的指示进行的，或是为改正投标人造成的应修改的错误而进行的。若有前述改动，应按照下列规定之一对改动处进行处理：</w:t>
      </w:r>
    </w:p>
    <w:p w14:paraId="39DC778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a.投标人代表签字确认；</w:t>
      </w:r>
    </w:p>
    <w:p w14:paraId="69D24F4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b.加盖投标人的单位公章或校正章。</w:t>
      </w:r>
    </w:p>
    <w:p w14:paraId="13AF1F5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10.6投标报价</w:t>
      </w:r>
    </w:p>
    <w:p w14:paraId="4B423F7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（1）投标报价超出最高限价将导致投标无效。</w:t>
      </w:r>
    </w:p>
    <w:p w14:paraId="7FC0DB2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（2）最高限价由采购人根据价格测算情况，在预算金额的额度内合理设定。最高限价不得超出预算金额。</w:t>
      </w:r>
    </w:p>
    <w:p w14:paraId="3189875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（3）除招标文件另有规定外，电子投标文件不能出现任何选择性的投标报价，即每一个采购包和品目号的采购标的都只能有一个投标报价。任何选择性的投标报价将导致投标无效。</w:t>
      </w:r>
    </w:p>
    <w:p w14:paraId="7CF6FC7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10.7分包</w:t>
      </w:r>
    </w:p>
    <w:p w14:paraId="0DE61B2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（1）是否允许中标人将本项目的非主体、非关键性工作进行分包：详见招标文件第二章。</w:t>
      </w:r>
    </w:p>
    <w:p w14:paraId="5C787C9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14:paraId="364D354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（3）招标文件允许中标人将非主体、非关键性工作进行分包的项目，有下列情形之一的，中标人不得分包：</w:t>
      </w:r>
    </w:p>
    <w:p w14:paraId="592AC61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①电子投标文件中未载明分包承担主体；</w:t>
      </w:r>
    </w:p>
    <w:p w14:paraId="75DB9F1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②电子投标文件载明的分包承担主体不具备相应资质条件；</w:t>
      </w:r>
    </w:p>
    <w:p w14:paraId="4181403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③电子投标文件载明的分包承担主体拟再次分包；</w:t>
      </w:r>
    </w:p>
    <w:p w14:paraId="4950ADD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④享受中小企业扶持政策获得政府采购合同的，小微企业不得将合同分包给大中型企业，中型企业不得将合同分包给大型企业。</w:t>
      </w:r>
    </w:p>
    <w:p w14:paraId="22907C03">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10.8投标有效期</w:t>
      </w:r>
    </w:p>
    <w:p w14:paraId="47659EC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（1）招标文件载明的投标有效期：详见招标文件第二章。</w:t>
      </w:r>
    </w:p>
    <w:p w14:paraId="16B3D1F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（2）电子投标文件承诺的投标有效期不得少于招标文件载明的投标有效期，否则投标无效。</w:t>
      </w:r>
    </w:p>
    <w:p w14:paraId="36F9C5B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（3）根据本次采购活动的需要， 三明华建招标代理有限公司 可于投标有效期届满之前书面要求投标人延长投标有效期，投标人应在 三明华建招标代理有限公司 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14:paraId="23140FC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10.9投标保证金</w:t>
      </w:r>
    </w:p>
    <w:p w14:paraId="30305DB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（1）投标保证金作为投标人按照招标文件规定履行相应投标责任、义务的约束及担保。</w:t>
      </w:r>
    </w:p>
    <w:p w14:paraId="50FB2D2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（2）投标人以电子保函形式提交投标保证金的，保函的有效期应等于或长于电子投标文件承诺的投标有效期，否则投标无效。</w:t>
      </w:r>
    </w:p>
    <w:p w14:paraId="4FD6DB8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（3）提交</w:t>
      </w:r>
    </w:p>
    <w:p w14:paraId="6DF684A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①投标人以汇款形式缴纳投标保证金的，应从其银行账户（基本存款账户）按照下列方式：公对公转账方式向招标文件载明的投标保证金账户提交投标保证金，具体金额详见招标文件第一章。</w:t>
      </w:r>
    </w:p>
    <w:p w14:paraId="16D8D3A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14:paraId="064735D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③其他形式：</w:t>
      </w:r>
    </w:p>
    <w:p w14:paraId="3B3E15F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w:t>
      </w:r>
    </w:p>
    <w:p w14:paraId="0FA1394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④若本项目接受联合体投标且投标人为联合体，则联合体中的牵头方应按照本章第10.9条第（3）款第①、②、③点规定提交投标保证金。</w:t>
      </w:r>
    </w:p>
    <w:p w14:paraId="7F06607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※除招标文件另有规定外，未按照上述规定提交投标保证金将导致资格审查不合格。</w:t>
      </w:r>
    </w:p>
    <w:p w14:paraId="2399887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（4）退还</w:t>
      </w:r>
    </w:p>
    <w:p w14:paraId="588928A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①在投标截止时间前撤回已提交的电子投标文件的投标人，其投标保证金将在 三明华建招标代理有限公司 收到投标人书面撤回通知之日起5个工作日内退回原账户。</w:t>
      </w:r>
    </w:p>
    <w:p w14:paraId="3BFB860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②未中标人的投标保证金将在中标通知书发出之日起5个工作日内退回原账户。</w:t>
      </w:r>
    </w:p>
    <w:p w14:paraId="2940813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③中标人的投标保证金将在政府采购合同签订之日起5个工作日内退回原账户；合同签订之日以福建省政府采购网上公开信息系统记载的为准。</w:t>
      </w:r>
    </w:p>
    <w:p w14:paraId="647C251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④终止招标的， 三明华建招标代理有限公司 将在终止公告发布之日起5个工作日内退回已收取的投标保证金及其在银行产生的孳息。</w:t>
      </w:r>
    </w:p>
    <w:p w14:paraId="5CC344C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⑤除招标文件另有规定外，质疑或投诉涉及的投标人，若投标保证金尚未退还，则待质疑或投诉处理完毕后不计利息原额退还。</w:t>
      </w:r>
    </w:p>
    <w:p w14:paraId="3AE258F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※本章第10.9条第（4）款第①、②、③点规定的投标保证金退还时限不包括因投标人自身原因导致无法及时退还而增加的时间。</w:t>
      </w:r>
    </w:p>
    <w:p w14:paraId="7DEBBB6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14:paraId="27FA87D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（6）有下列情形之一的，投标保证金将不予退还或通过投标保函进行索赔：</w:t>
      </w:r>
    </w:p>
    <w:p w14:paraId="4006D41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①投标人串通投标；</w:t>
      </w:r>
    </w:p>
    <w:p w14:paraId="2BF19F4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②投标人提供虚假材料；</w:t>
      </w:r>
    </w:p>
    <w:p w14:paraId="25DECF6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③投标人采取不正当手段诋毁、排挤其他投标人；</w:t>
      </w:r>
    </w:p>
    <w:p w14:paraId="53BBC04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④投标截止时间后，投标人在投标有效期内撤销电子投标文件；</w:t>
      </w:r>
    </w:p>
    <w:p w14:paraId="46E7581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⑤招标文件规定的其他不予退还情形；</w:t>
      </w:r>
    </w:p>
    <w:p w14:paraId="41C796C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⑥中标人有下列情形之一的：</w:t>
      </w:r>
    </w:p>
    <w:p w14:paraId="2359D20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a.除不可抗力外，因中标人自身原因未在中标通知书要求的期限内与采购人签订政府采购合同；</w:t>
      </w:r>
    </w:p>
    <w:p w14:paraId="7A1E9C9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b.未按照招标文件、投标文件的约定签订政府采购合同或提交履约保证金。</w:t>
      </w:r>
    </w:p>
    <w:p w14:paraId="05D47A1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※若上述投标保证金不予退还情形给采购人（采购代理机构）造成损失，则投标人还要承担相应的赔偿责任。</w:t>
      </w:r>
    </w:p>
    <w:p w14:paraId="4149506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10.10电子投标文件的提交</w:t>
      </w:r>
    </w:p>
    <w:p w14:paraId="5E9BD95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（1）一个投标人只能提交一个电子投标文件，并按照招标文件第一章规定在系统上完成上传、解密操作。</w:t>
      </w:r>
    </w:p>
    <w:p w14:paraId="01426F5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10.11电子投标文件的补充、修改或撤回</w:t>
      </w:r>
    </w:p>
    <w:p w14:paraId="4B0E5D8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（1）投标截止时间前，投标人可对所提交的电子投标文件进行补充、修改或撤回，并书面通知 三明华建招标代理有限公司 。</w:t>
      </w:r>
    </w:p>
    <w:p w14:paraId="4025B4A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（2）补充、修改的内容应按照本章第10.5条第（4）款规定进行签署、盖章，并按照本章第10.10条规定提交，否则将被拒收。</w:t>
      </w:r>
    </w:p>
    <w:p w14:paraId="5ADAB73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※按照上述规定提交的补充、修改内容作为电子投标文件组成部分。</w:t>
      </w:r>
    </w:p>
    <w:p w14:paraId="30D79AC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10.12除招标文件另有规定外，有下列情形之一的，投标无效：</w:t>
      </w:r>
    </w:p>
    <w:p w14:paraId="4097427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（1）电子投标文件未按照招标文件要求签署、盖章；</w:t>
      </w:r>
    </w:p>
    <w:p w14:paraId="3FFCB5A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（2）不符合招标文件中规定的资格要求；</w:t>
      </w:r>
    </w:p>
    <w:p w14:paraId="6AD5F02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（3）投标报价超过招标文件中规定的预算金额或最高限价；</w:t>
      </w:r>
    </w:p>
    <w:p w14:paraId="5DE6290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（4）电子投标文件含有采购人不能接受的附加条件；</w:t>
      </w:r>
    </w:p>
    <w:p w14:paraId="11EE243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（5）有关法律、法规和规章及招标文件规定的其他无效情形。</w:t>
      </w:r>
    </w:p>
    <w:p w14:paraId="25E47A93">
      <w:pPr>
        <w:pStyle w:val="8"/>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五、开标</w:t>
      </w:r>
    </w:p>
    <w:p w14:paraId="08D04C5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11、开标</w:t>
      </w:r>
    </w:p>
    <w:p w14:paraId="7AD9AA5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11.1 三明华建招标代理有限公司 将在招标文件载明的开标时间及地点主持召开开标会，并邀请投标人参加。</w:t>
      </w:r>
    </w:p>
    <w:p w14:paraId="3A1FA5A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11.2开标会的主持人、唱标人、记录人及其他工作人员（若有）均由 三明华建招标代理有限公司 派出，现场监督人员（若有）可由有关方面派出。</w:t>
      </w:r>
    </w:p>
    <w:p w14:paraId="1C84591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14:paraId="55388EC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11.4开标会应遵守下列规定：</w:t>
      </w:r>
    </w:p>
    <w:p w14:paraId="2C0B095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14:paraId="3750615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唱标时，唱标人将依次宣布“投标人名称”、“各投标人关于电子投标文件补充、修改或撤回的书面通知（若有）”、“各投标人的投标报价”和招标文件规定的需要宣布的其他内容（包括但不限于：开标（报价）一览表中的内容、唱标人认为需要宣布的内容等）。</w:t>
      </w:r>
    </w:p>
    <w:p w14:paraId="1EFB408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（3）唱标结束后，参加现场开标会的投标人代表应对开标记录进行签字确认，通过远程参与开标流程的投标人须在系统远程签章开启后，在系统规定时间内对开标结果进行签章确认。</w:t>
      </w:r>
    </w:p>
    <w:p w14:paraId="7B970ED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14:paraId="2B5F880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（5）若投标人未到开标现场参加开标会，也未通过远程参加开标会的，视同认可开标结果。</w:t>
      </w:r>
    </w:p>
    <w:p w14:paraId="40FD131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 三明华建招标代理有限公司 提出任何疑义或要求（包括质疑）。</w:t>
      </w:r>
    </w:p>
    <w:p w14:paraId="42BAD26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11.5投标截止时间后，参加投标的投标人不足三家的，不进行开标。同时，本次采购活动结束， 三明华建招标代理有限公司 将依法组织后续采购活动（包括但不限于：重新招标、采用其他方式采购等）。</w:t>
      </w:r>
    </w:p>
    <w:p w14:paraId="04173DB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11.6投标截止时间后撤销投标的处理</w:t>
      </w:r>
    </w:p>
    <w:p w14:paraId="35D887C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投标截止时间后，投标人在投标有效期内撤销投标的，其撤销投标的行为无效。</w:t>
      </w:r>
    </w:p>
    <w:p w14:paraId="1DCC398B">
      <w:pPr>
        <w:pStyle w:val="8"/>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六、中标与政府采购合同</w:t>
      </w:r>
    </w:p>
    <w:p w14:paraId="60AA323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12、中标</w:t>
      </w:r>
    </w:p>
    <w:p w14:paraId="13230FE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12.1本项目推荐的中标候选人家数：详见招标文件第二章。</w:t>
      </w:r>
    </w:p>
    <w:p w14:paraId="7E792D13">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12.2本项目中标人的确定：详见招标文件第二章。</w:t>
      </w:r>
    </w:p>
    <w:p w14:paraId="73B6700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12.3中标公告</w:t>
      </w:r>
    </w:p>
    <w:p w14:paraId="202F5AF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（1）中标人确定之日起2个工作日内， 三明华建招标代理有限公司 将在招标文件载明的指定媒体以中标公告的形式发布中标结果。</w:t>
      </w:r>
    </w:p>
    <w:p w14:paraId="1458197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（2）中标公告的公告期限为1个工作日。</w:t>
      </w:r>
    </w:p>
    <w:p w14:paraId="024B798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12.4中标通知书</w:t>
      </w:r>
    </w:p>
    <w:p w14:paraId="53D0D493">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（1）中标公告发布的同时， 三明华建招标代理有限公司 将向中标人发出中标通知书。</w:t>
      </w:r>
    </w:p>
    <w:p w14:paraId="6ABC8AF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（2）中标通知书发出后，采购人不得违法改变中标结果，中标人无正当理由不得放弃中标。</w:t>
      </w:r>
    </w:p>
    <w:p w14:paraId="13BD25A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13、政府采购合同</w:t>
      </w:r>
    </w:p>
    <w:p w14:paraId="59DE16D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13.1签订政府采购合同应遵守政府采购法及实施条例的规定，不得对招标文件确定的事项和中标人的电子投标文件作实质性修改。采购人不得向中标人提出任何不合理的要求作为政府采购合同的签订条件。</w:t>
      </w:r>
    </w:p>
    <w:p w14:paraId="757DBCC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13.2签订时限：详见须知前附表1的13.2。</w:t>
      </w:r>
    </w:p>
    <w:p w14:paraId="572ADF3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13.3政府采购合同的履行、违约责任和解决争议的方法等适用民法典。</w:t>
      </w:r>
    </w:p>
    <w:p w14:paraId="67E4654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13.4采购人与中标人应根据政府采购合同的约定依法履行合同义务。</w:t>
      </w:r>
    </w:p>
    <w:p w14:paraId="1B22B8D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13.5政府采购合同履行过程中，采购人若需追加与合同标的相同的货物或服务，则追加采购金额不得超过原合同采购金额的10%。</w:t>
      </w:r>
    </w:p>
    <w:p w14:paraId="34FF19C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13.6中标人在政府采购合同履行过程中应遵守有关法律、法规和规章的强制性规定（即使前述强制性规定有可能在招标文件中未予列明）。</w:t>
      </w:r>
    </w:p>
    <w:p w14:paraId="70E6EA85">
      <w:pPr>
        <w:pStyle w:val="8"/>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七、询问、质疑与投诉</w:t>
      </w:r>
    </w:p>
    <w:p w14:paraId="7A4249E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14、询问</w:t>
      </w:r>
    </w:p>
    <w:p w14:paraId="251188A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14.1潜在投标人或投标人对本次采购活动的有关事项若有疑问，可向 三明华建招标代理有限公司 提出询问， 三明华建招标代理有限公司 将按照政府采购法及实施条例的有关规定进行答复。</w:t>
      </w:r>
    </w:p>
    <w:p w14:paraId="58A7B9E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15、质疑</w:t>
      </w:r>
    </w:p>
    <w:p w14:paraId="364DE7D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15.1针对同一采购程序环节的质疑应在政府采购法及实施条例的时限内一次性提出，对一个项目的不同采购包提出质疑的，应当将各采购包质疑事项集中在一份质疑函中提出，并同时符合下列条件：</w:t>
      </w:r>
    </w:p>
    <w:p w14:paraId="60C49BB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（1）对招标文件提出质疑的，质疑人应为潜在投标人，且两者的身份、名称等均应保持一致。对采购过程、结果提出质疑的，质疑人应为投标人，且两者的身份、名称等均应保持一致。</w:t>
      </w:r>
    </w:p>
    <w:p w14:paraId="33A8C18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（2）质疑人应按照招标文件第二章规定方式提交质疑函。</w:t>
      </w:r>
    </w:p>
    <w:p w14:paraId="1DC8C1C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（3）质疑函应包括下列主要内容：</w:t>
      </w:r>
    </w:p>
    <w:p w14:paraId="7DA1BC6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①质疑人的基本信息，至少包括：全称、地址、邮政编码等；</w:t>
      </w:r>
    </w:p>
    <w:p w14:paraId="43C80E4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②所质疑项目的基本信息，至少包括：项目编号、项目名称等；</w:t>
      </w:r>
    </w:p>
    <w:p w14:paraId="265A159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③所质疑的具体事项（以下简称：“质疑事项”）；</w:t>
      </w:r>
    </w:p>
    <w:p w14:paraId="3921299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④针对质疑事项提出的明确请求，前述明确请求指质疑人提出质疑的目的以及希望 三明华建招标代理有限公司 对其质疑作出的处理结果，如：暂停招标投标活动、修改招标文件、停止或纠正违法违规行为、中标结果无效、废标、重新招标等；</w:t>
      </w:r>
    </w:p>
    <w:p w14:paraId="2FA7D79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⑤针对质疑事项导致质疑人自身权益受到损害的必要证明材料，至少包括：</w:t>
      </w:r>
    </w:p>
    <w:p w14:paraId="064F8C7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a.质疑人代表的身份证明材料：</w:t>
      </w:r>
    </w:p>
    <w:p w14:paraId="4EEF758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14:paraId="22CE71A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a2若本项目接受自然人投标且质疑人为自然人的，提供本人的身份证复印件。</w:t>
      </w:r>
    </w:p>
    <w:p w14:paraId="5E6B598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b.其他证明材料（即事实依据和必要的法律依据）包括但不限于下列材料：</w:t>
      </w:r>
    </w:p>
    <w:p w14:paraId="3B5A560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b1所质疑的具体事项是与自己有利害关系的证明材料；</w:t>
      </w:r>
    </w:p>
    <w:p w14:paraId="1253013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b2质疑函所述事实存在的证明材料，如：采购文件、采购过程或中标结果违法违规或不符合采购文件要求等证明材料；</w:t>
      </w:r>
    </w:p>
    <w:p w14:paraId="760D0DF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b3依法应终止采购程序的证明材料；</w:t>
      </w:r>
    </w:p>
    <w:p w14:paraId="20460E4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b4应重新采购的证明材料；</w:t>
      </w:r>
    </w:p>
    <w:p w14:paraId="39E9E8B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b5采购文件、采购过程或中标、成交结果损害自己合法权益的证明材料等；</w:t>
      </w:r>
    </w:p>
    <w:p w14:paraId="041B50E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14:paraId="79F968C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⑥质疑人代表及其联系方法的信息，至少包括：姓名、手机、电子信箱、邮寄地址等。</w:t>
      </w:r>
    </w:p>
    <w:p w14:paraId="5A84DF0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⑦提出质疑的日期。</w:t>
      </w:r>
    </w:p>
    <w:p w14:paraId="4FCDEF6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※质疑人为法人或其他组织的，质疑函应由单位负责人或委托代理人签字或盖章，并加盖投标人的单位公章。质疑人为自然人的，质疑函应由本人签字。</w:t>
      </w:r>
    </w:p>
    <w:p w14:paraId="5E54C45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15.2对不符合本章第15.1条规定的质疑，将按照下列规定进行处理：</w:t>
      </w:r>
    </w:p>
    <w:p w14:paraId="2F0D985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（1）不符合其中第（1）、（2）条规定的，书面告知质疑人不予受理及其理由。</w:t>
      </w:r>
    </w:p>
    <w:p w14:paraId="30A2912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（2）不符合其中第（3）条规定的，书面告知质疑人修改、补充后在规定时限内重新提交质疑函。</w:t>
      </w:r>
    </w:p>
    <w:p w14:paraId="70C95EF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15.3对符合本章第15.1条规定的质疑，将按照政府采购法及实施条例、政府采购质疑和投诉办法的有关规定进行答复。</w:t>
      </w:r>
    </w:p>
    <w:p w14:paraId="7471D02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15.4招标文件的质疑：详见招标文件第二章。</w:t>
      </w:r>
    </w:p>
    <w:p w14:paraId="52BC9F1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16、投诉</w:t>
      </w:r>
    </w:p>
    <w:p w14:paraId="07FE97B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16.1若对质疑答复不满意或质疑答复未在答复期限内作出，质疑人可在答复期限届满之日起15个工作日内按照政府采购质疑和投诉办法的有关规定向招标文件第二章载明的本项目监督管理部门提起投诉。</w:t>
      </w:r>
    </w:p>
    <w:p w14:paraId="6BF91F1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16.2投诉应有明确的请求和必要的证明材料，投诉的事项不得超出已质疑事项的范围。</w:t>
      </w:r>
    </w:p>
    <w:p w14:paraId="3FD4D844">
      <w:pPr>
        <w:pStyle w:val="8"/>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八、政府采购政策</w:t>
      </w:r>
    </w:p>
    <w:p w14:paraId="352ABAB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17、政府采购政策由财政部根据国家的经济和社会发展政策并会同国家有关部委制定，包括但不限于下列具体政策要求：</w:t>
      </w:r>
    </w:p>
    <w:p w14:paraId="6701D13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17.1本国产品与非本国产品相关约定</w:t>
      </w:r>
    </w:p>
    <w:p w14:paraId="3D1DFAF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17.1.1本国产品</w:t>
      </w:r>
    </w:p>
    <w:p w14:paraId="1EE88D9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（1）本国产品标准 本国产品应当符合以下条件： ①在中国境内生产。 产品应当在中国境内生产，即在中华人民共和国关境内实现从原材料、组件到产品的属性改变。 属性改变是指经过制造、加工或者组装等工序，产生完全不同于原材料、组件的新产品，并具有新的名称和特征（用途）。属性改变不包括以下细微操作： a.为确保产品在运输或者储存期间保持某种状态而进行的操作； b.为产品运输或者销售进行的包装或者展示； c.在产品或者其包装上粘贴或者印刷品牌、标志、标识以及其他用于区别的标记； d.简单的上漆、磨光和分装； e.其他不属于属性改变的情形。 ②在中国境内生产的组件成本占比达到规定比例。 具体判定标准以《国务院办公厅关于在政府采购中实施本国产品标准及相关政策的通知》以及财政部相关文件为准。 ③特定产品的关键组件、关键工序符合相关要求。 具体判定标准以《国务院办公厅关于在政府采购中实施本国产品标准及相关政策的通知》以及财政部相关文件为准。</w:t>
      </w:r>
    </w:p>
    <w:p w14:paraId="020F764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（2）本国产品标准的适用范围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40DEAB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（3）对本国产品的支持政策 政府采购活动中既有本国产品又有非本国产品参与竞争的，依法对本国产品给予价格评审优惠，对本国产品的报价给予20%的价格扣除，用扣除后的价格参与评审。</w:t>
      </w:r>
    </w:p>
    <w:p w14:paraId="5F08C48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BF72E1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17.1.2 非本国产品</w:t>
      </w:r>
    </w:p>
    <w:p w14:paraId="3CDF4839">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17.1.2.1 进口产品：指通过中国海关报关验放进入中国境内且产自关境外的产品，其中：</w:t>
      </w:r>
    </w:p>
    <w:p w14:paraId="0246E26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21B1A57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（2）凡在海关特殊监管区域内企业生产或加工（包括从境外进口料件）销往境内其他地区的产品，不作为政府采购项下进口产品。</w:t>
      </w:r>
    </w:p>
    <w:p w14:paraId="00A3162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（3）对从境外进入海关特殊监管区域，再经办理报关手续后从海关特殊监管区进入境内其他地区的产品，认定为进口产品。</w:t>
      </w:r>
    </w:p>
    <w:p w14:paraId="1FC6A15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（4）招标文件列明不允许或未列明允许进口产品参加投标的，均视为拒绝进口产品参加投标。</w:t>
      </w:r>
    </w:p>
    <w:p w14:paraId="679CA49A">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17.1.2.2 其它非本国产品：指非进口产品且不符合本国产品标准的产品。</w:t>
      </w:r>
    </w:p>
    <w:p w14:paraId="32229C2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1D1D39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17.3符合财政部、工信部文件（财库〔2020〕46号）规定的中小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5FC9FAE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（1）中小企业指符合下列条件的中型、小型、微型企业：</w:t>
      </w:r>
    </w:p>
    <w:p w14:paraId="608328B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3150C56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②符合中小企业划分标准的个体工商户，在政府采购活动中视同中小企业。</w:t>
      </w:r>
    </w:p>
    <w:p w14:paraId="46071D3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（2）在政府采购活动中，供应商提供的货物、工程或者服务符合下列情形的，享受本办法规定的中小企业扶持政策：</w:t>
      </w:r>
    </w:p>
    <w:p w14:paraId="606C51C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①在货物采购项目中，货物由中小企业制造，即货物由中小企业生产且使用该中小企业商号或者注册商标；</w:t>
      </w:r>
    </w:p>
    <w:p w14:paraId="7FFAF17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②在工程采购项目中，工程由中小企业承建，即工程施工单位为中小企业；</w:t>
      </w:r>
    </w:p>
    <w:p w14:paraId="29D2EB5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③在服务采购项目中，服务由中小企业承接，即提供服务的人员为中小企业依照《中华人民共和国劳动合同法》订立劳动合同的从业人员。</w:t>
      </w:r>
    </w:p>
    <w:p w14:paraId="7E42C3F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在货物采购项目中，供应商提供的货物既有中小企业制造货物，也有大型企业制造货物的，不享受本办法规定的中小企业扶持政策。</w:t>
      </w:r>
    </w:p>
    <w:p w14:paraId="759EEB3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以联合体形式参加政府采购活动，联合体各方均为中小企业的，联合体视同中小企业。其中，联合体各方均为小微企业的，联合体视同小微企业。</w:t>
      </w:r>
    </w:p>
    <w:p w14:paraId="4BB4543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（3）投标人应当按照招标文件明确的采购标的对应行业的划分标准出具中小企业声明函。</w:t>
      </w:r>
    </w:p>
    <w:p w14:paraId="7119F19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63A8C10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4F0F437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①监狱企业参加采购活动时，应提供由省级以上监狱管理局、戒毒管理局（含新疆生产建设兵团）出具的属于监狱企业的证明文件。</w:t>
      </w:r>
    </w:p>
    <w:p w14:paraId="36F9AC1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②监狱企业视同小型、微型企业。</w:t>
      </w:r>
    </w:p>
    <w:p w14:paraId="6575B5F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（5）残疾人福利性单位指同时符合下列条件的单位：</w:t>
      </w:r>
    </w:p>
    <w:p w14:paraId="1656097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①安置的残疾人占本单位在职职工人数的比例不低于25%（含25%），并且安置的残疾人人数不少于10人（含10人）；</w:t>
      </w:r>
    </w:p>
    <w:p w14:paraId="1207F16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②依法与安置的每位残疾人签订了一年以上（含一年）的劳动合同或服务协议；</w:t>
      </w:r>
    </w:p>
    <w:p w14:paraId="4162BA2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③为安置的每位残疾人按月足额缴纳了基本养老保险、基本医疗保险、失业保险、工伤保险和生育保险等社会保险费；</w:t>
      </w:r>
    </w:p>
    <w:p w14:paraId="0C9DDD1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④通过银行等金融机构向安置的每位残疾人，按月支付了不低于单位所在区县适用的经省级人民政府批准的月最低工资标准的工资；</w:t>
      </w:r>
    </w:p>
    <w:p w14:paraId="599A999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⑤提供本单位制造的货物、承担的工程或服务，或提供其他残疾人福利性单位制造的货物（不包括使用非残疾人福利性单位注册商标的货物）。</w:t>
      </w:r>
    </w:p>
    <w:p w14:paraId="398D394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1836CAF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上述条件的残疾人福利性单位参加采购活动时，应提供《残疾人福利性单位声明函》，并对声明的真实性负责。残疾人福利性单位视同小型、微型企业。残疾人福利性单位属于小型、微型企业的，不重复享受政策。</w:t>
      </w:r>
    </w:p>
    <w:p w14:paraId="16E1514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17.4信用记录指由财政部确定的有关网站提供的相关主体信用信息。信用记录的查询及使用应符合财政部文件（财库[2016]125号）规定。</w:t>
      </w:r>
    </w:p>
    <w:p w14:paraId="1FE6C13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17.5为落实政府采购政策需满足的要求：详见招标文件第一章。</w:t>
      </w:r>
    </w:p>
    <w:p w14:paraId="3F559337">
      <w:pPr>
        <w:pStyle w:val="8"/>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九、本项目的有关信息</w:t>
      </w:r>
    </w:p>
    <w:p w14:paraId="6B952C3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18、本项目的有关信息，包括但不限于：招标公告、更正公告（若有）、招标文件、招标文件的澄清或修改（若有）、中标公告、终止公告（若有）、废标公告（若有）等都将在招标文件载明的指定媒体发布。</w:t>
      </w:r>
    </w:p>
    <w:p w14:paraId="3DC3F30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18.1指定媒体：详见招标文件第二章。</w:t>
      </w:r>
    </w:p>
    <w:p w14:paraId="61103F5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18.2本项目的潜在投标人或投标人应随时关注指定媒体，否则产生不利后果由其自行承担。</w:t>
      </w:r>
    </w:p>
    <w:p w14:paraId="7446C1BF">
      <w:pPr>
        <w:pStyle w:val="8"/>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十、其他事项</w:t>
      </w:r>
    </w:p>
    <w:p w14:paraId="13594D6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19、其他事项：</w:t>
      </w:r>
    </w:p>
    <w:p w14:paraId="57B9749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14:paraId="407B811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19.2其他：详见招标文件第二章。</w:t>
      </w:r>
    </w:p>
    <w:p w14:paraId="38F984ED">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0C359EC0">
      <w:pPr>
        <w:pStyle w:val="8"/>
        <w:jc w:val="center"/>
        <w:outlineLvl w:val="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highlight w:val="none"/>
        </w:rPr>
        <w:t>第四章 资格审查与评标</w:t>
      </w:r>
    </w:p>
    <w:p w14:paraId="21945A2E">
      <w:pPr>
        <w:pStyle w:val="8"/>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一、资格审查</w:t>
      </w:r>
    </w:p>
    <w:p w14:paraId="79AC58A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1、开标结束后，由 三明华建招标代理有限公司 负责资格审查小组的组建及资格审查工作的组织。</w:t>
      </w:r>
    </w:p>
    <w:p w14:paraId="5CA2DFC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1.1资格审查小组</w:t>
      </w:r>
    </w:p>
    <w:p w14:paraId="178A534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资格审查小组由3人组成，并负责具体审查事务，其中由采购人派出的采购人代表至少1人，由三明华建招标代理有限公司派出的工作人员至少1人，其余1人可为采购人代表或三明华建招标代理有限公司的工作人员。</w:t>
      </w:r>
    </w:p>
    <w:p w14:paraId="2918BC9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1.2资格审查的依据是招标文件和电子投标文件。</w:t>
      </w:r>
    </w:p>
    <w:p w14:paraId="4288586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1.3资格审查的范围及内容：电子投标文件（资格及资信证明部分），具体如下：</w:t>
      </w:r>
    </w:p>
    <w:p w14:paraId="53C9A0E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（1）“投标函”；</w:t>
      </w:r>
    </w:p>
    <w:p w14:paraId="247B3C5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（2）“投标人的资格及资信证明文件”</w:t>
      </w:r>
    </w:p>
    <w:p w14:paraId="6BF1C1A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①一般资格证明文件：</w:t>
      </w:r>
    </w:p>
    <w:p w14:paraId="7837615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983"/>
      </w:tblGrid>
      <w:tr w14:paraId="6308BC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AC22DB">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序号</w:t>
            </w:r>
          </w:p>
        </w:tc>
        <w:tc>
          <w:tcPr>
            <w:tcW w:w="3322" w:type="dxa"/>
          </w:tcPr>
          <w:p w14:paraId="1E307BC8">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资格审查要求概况</w:t>
            </w:r>
          </w:p>
        </w:tc>
        <w:tc>
          <w:tcPr>
            <w:tcW w:w="4983" w:type="dxa"/>
          </w:tcPr>
          <w:p w14:paraId="02BB6709">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评审点具体描述</w:t>
            </w:r>
          </w:p>
        </w:tc>
      </w:tr>
      <w:tr w14:paraId="1275A2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8B1F5B">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3322" w:type="dxa"/>
          </w:tcPr>
          <w:p w14:paraId="120B867F">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单位授权书</w:t>
            </w:r>
          </w:p>
        </w:tc>
        <w:tc>
          <w:tcPr>
            <w:tcW w:w="4983" w:type="dxa"/>
          </w:tcPr>
          <w:p w14:paraId="46D66E47">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10957B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7080E0A">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p>
        </w:tc>
        <w:tc>
          <w:tcPr>
            <w:tcW w:w="3322" w:type="dxa"/>
          </w:tcPr>
          <w:p w14:paraId="2C6DB185">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营业执照等证明文件</w:t>
            </w:r>
          </w:p>
        </w:tc>
        <w:tc>
          <w:tcPr>
            <w:tcW w:w="4983" w:type="dxa"/>
          </w:tcPr>
          <w:p w14:paraId="5FACC357">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3B2061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3506A2">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w:t>
            </w:r>
          </w:p>
        </w:tc>
        <w:tc>
          <w:tcPr>
            <w:tcW w:w="3322" w:type="dxa"/>
          </w:tcPr>
          <w:p w14:paraId="3AB3A8EB">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提供财务状况报告(财务报告、或资信证明）</w:t>
            </w:r>
          </w:p>
        </w:tc>
        <w:tc>
          <w:tcPr>
            <w:tcW w:w="4983" w:type="dxa"/>
          </w:tcPr>
          <w:p w14:paraId="07C258FC">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4AA7DB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116511">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w:t>
            </w:r>
          </w:p>
        </w:tc>
        <w:tc>
          <w:tcPr>
            <w:tcW w:w="3322" w:type="dxa"/>
          </w:tcPr>
          <w:p w14:paraId="485AA500">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依法缴纳税收证明材料</w:t>
            </w:r>
          </w:p>
        </w:tc>
        <w:tc>
          <w:tcPr>
            <w:tcW w:w="4983" w:type="dxa"/>
          </w:tcPr>
          <w:p w14:paraId="07949F76">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148DAA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96E2A9C">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w:t>
            </w:r>
          </w:p>
        </w:tc>
        <w:tc>
          <w:tcPr>
            <w:tcW w:w="3322" w:type="dxa"/>
          </w:tcPr>
          <w:p w14:paraId="63839F13">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依法缴纳社会保障资金证明材料</w:t>
            </w:r>
          </w:p>
        </w:tc>
        <w:tc>
          <w:tcPr>
            <w:tcW w:w="4983" w:type="dxa"/>
          </w:tcPr>
          <w:p w14:paraId="4FF7B7E6">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5F1DE7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B82C51">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w:t>
            </w:r>
          </w:p>
        </w:tc>
        <w:tc>
          <w:tcPr>
            <w:tcW w:w="3322" w:type="dxa"/>
          </w:tcPr>
          <w:p w14:paraId="0E12D315">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具备履行合同所必需设备和专业技术能力的声明函(若有)</w:t>
            </w:r>
          </w:p>
        </w:tc>
        <w:tc>
          <w:tcPr>
            <w:tcW w:w="4983" w:type="dxa"/>
          </w:tcPr>
          <w:p w14:paraId="63341C20">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06F418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21B5313">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w:t>
            </w:r>
          </w:p>
        </w:tc>
        <w:tc>
          <w:tcPr>
            <w:tcW w:w="3322" w:type="dxa"/>
          </w:tcPr>
          <w:p w14:paraId="7704C87B">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参加采购活动前三年内在经营活动中没有重大违法记录的声明</w:t>
            </w:r>
          </w:p>
        </w:tc>
        <w:tc>
          <w:tcPr>
            <w:tcW w:w="4983" w:type="dxa"/>
          </w:tcPr>
          <w:p w14:paraId="7805653D">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68FE60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3E9B92">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w:t>
            </w:r>
          </w:p>
        </w:tc>
        <w:tc>
          <w:tcPr>
            <w:tcW w:w="3322" w:type="dxa"/>
          </w:tcPr>
          <w:p w14:paraId="78E5AC45">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信用记录查询结果</w:t>
            </w:r>
          </w:p>
        </w:tc>
        <w:tc>
          <w:tcPr>
            <w:tcW w:w="4983" w:type="dxa"/>
          </w:tcPr>
          <w:p w14:paraId="5FECC6D9">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2EA899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D0A4D8">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w:t>
            </w:r>
          </w:p>
        </w:tc>
        <w:tc>
          <w:tcPr>
            <w:tcW w:w="3322" w:type="dxa"/>
          </w:tcPr>
          <w:p w14:paraId="06D0D115">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中小企业声明函（以资格条件落实中小企业扶持政策时适用 ）</w:t>
            </w:r>
          </w:p>
        </w:tc>
        <w:tc>
          <w:tcPr>
            <w:tcW w:w="4983" w:type="dxa"/>
          </w:tcPr>
          <w:p w14:paraId="44BA2573">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62A57B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D7E5397">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w:t>
            </w:r>
          </w:p>
        </w:tc>
        <w:tc>
          <w:tcPr>
            <w:tcW w:w="3322" w:type="dxa"/>
          </w:tcPr>
          <w:p w14:paraId="4427BC63">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联合体协议（若有）</w:t>
            </w:r>
          </w:p>
        </w:tc>
        <w:tc>
          <w:tcPr>
            <w:tcW w:w="4983" w:type="dxa"/>
          </w:tcPr>
          <w:p w14:paraId="4EB42C2B">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①招标文件接受联合体投标且投标人为联合体的，投标人应提供本协议；否则无须提供。 ②本协议由委托代理人签字或盖章的，应按照招标文件第七章载明的格式提供“单位授权书”。</w:t>
            </w:r>
          </w:p>
        </w:tc>
      </w:tr>
    </w:tbl>
    <w:p w14:paraId="4E9F6D2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※备注说明</w:t>
      </w:r>
    </w:p>
    <w:p w14:paraId="4A203DD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①投标人应根据自身实际情况提供上述资格要求的证明材料，格式可参考招标文件第七章提供。</w:t>
      </w:r>
    </w:p>
    <w:p w14:paraId="102D4E6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②投标人提供的相应证明材料复印件均应符合：内容完整、清晰、整洁，并由投标人加盖其单位公章。</w:t>
      </w:r>
    </w:p>
    <w:p w14:paraId="68877FB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③根据招标文件第四章第一点资格审查的1.3“④其他资格证明文件”要求，允许供应商采用资格承诺制的并提供符合要求的资格承诺函，视为满足招标文件的资格要求。</w:t>
      </w:r>
    </w:p>
    <w:p w14:paraId="6E5F91D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④.其他资格证明文件：</w:t>
      </w:r>
    </w:p>
    <w:p w14:paraId="38C4CFE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5494"/>
      </w:tblGrid>
      <w:tr w14:paraId="7DA0D9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0B75A82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资格审查要求概况</w:t>
            </w:r>
          </w:p>
        </w:tc>
        <w:tc>
          <w:tcPr>
            <w:tcW w:w="5494" w:type="dxa"/>
          </w:tcPr>
          <w:p w14:paraId="1D7036B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评审点具体描述</w:t>
            </w:r>
          </w:p>
        </w:tc>
      </w:tr>
      <w:tr w14:paraId="17DC52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56F1234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资格承诺函</w:t>
            </w:r>
          </w:p>
        </w:tc>
        <w:tc>
          <w:tcPr>
            <w:tcW w:w="5494" w:type="dxa"/>
          </w:tcPr>
          <w:p w14:paraId="215D639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14:paraId="744B70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19C6328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本采购包属于专门面向中小企业采购。</w:t>
            </w:r>
          </w:p>
        </w:tc>
        <w:tc>
          <w:tcPr>
            <w:tcW w:w="5494" w:type="dxa"/>
          </w:tcPr>
          <w:p w14:paraId="60980DF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本采购包为专门面向中小企业采购，投标人须提供中小企业声明函。监狱企业、残疾人福利性单位视同小型、微型企业。</w:t>
            </w:r>
          </w:p>
        </w:tc>
      </w:tr>
    </w:tbl>
    <w:p w14:paraId="43500ED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（3）投标保证金。</w:t>
      </w:r>
    </w:p>
    <w:p w14:paraId="1C7D17D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1.4有下列情形之一的，资格审查不合格：</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334DBD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0FBEBF0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明细</w:t>
            </w:r>
          </w:p>
        </w:tc>
      </w:tr>
      <w:tr w14:paraId="17D0AE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7B486C4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未按照招标文件规定提交投标函</w:t>
            </w:r>
          </w:p>
        </w:tc>
      </w:tr>
      <w:tr w14:paraId="38400A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0C2FCC3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未按照招标文件规定提交投标人的资格及资信文件</w:t>
            </w:r>
          </w:p>
        </w:tc>
      </w:tr>
      <w:tr w14:paraId="721639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768AEE7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未按照招标文件规定提交投标保证金</w:t>
            </w:r>
          </w:p>
        </w:tc>
      </w:tr>
    </w:tbl>
    <w:p w14:paraId="0E9B611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w:t>
      </w:r>
    </w:p>
    <w:p w14:paraId="3B96EF9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资格审查不合格项：无</w:t>
      </w:r>
    </w:p>
    <w:p w14:paraId="0F2DB1C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1.5若本项目接受联合体投标且投标人为联合体，联合体中有同类资质的供应商按照联合体分工承担相同工作的，应先按照资质等级较低的供应商确定资质等级，再按照本章第1.2、1.3、1.4条规定进行资格审查。</w:t>
      </w:r>
    </w:p>
    <w:p w14:paraId="45FD9AF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2、资格审查情况不得私自外泄，有关信息由 三明华建招标代理有限公司 统一对外发布。</w:t>
      </w:r>
    </w:p>
    <w:p w14:paraId="79D61BC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3、资格审查合格的投标人不足三家的，不进行评标。同时，本次采购活动结束， 三明华建招标代理有限公司 将依法组织后续采购活动（包括但不限于：重新招标、采用其他方式采购等）。</w:t>
      </w:r>
    </w:p>
    <w:p w14:paraId="2B07753D">
      <w:pPr>
        <w:pStyle w:val="8"/>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二、评标</w:t>
      </w:r>
    </w:p>
    <w:p w14:paraId="1195569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4、资格审查结束后，由 三明华建招标代理有限公司 负责评标委员会的组建及评标工作的组织。</w:t>
      </w:r>
    </w:p>
    <w:p w14:paraId="14A1C81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5、评标委员会</w:t>
      </w:r>
    </w:p>
    <w:p w14:paraId="7A6B034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由采购人代表和评审专家两部分共5人组成，其中由福建省政府采购评审专家库产生的评审专家4人，由采购人派出的采购人代表1人。</w:t>
      </w:r>
    </w:p>
    <w:p w14:paraId="03A1C0B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5.2评标委员会负责具体评标事务，并按照下列原则依法独立履行有关职责：</w:t>
      </w:r>
    </w:p>
    <w:p w14:paraId="2EFCE8A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（1）评标应保护国家利益、社会公共利益和各方当事人合法权益，提高采购效益，保证项目质量。</w:t>
      </w:r>
    </w:p>
    <w:p w14:paraId="64ADBF1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（2）评标应遵循公平、公正、科学、严谨和择优原则。</w:t>
      </w:r>
    </w:p>
    <w:p w14:paraId="5600E7B3">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（3）评标的依据是招标文件和电子投标文件。</w:t>
      </w:r>
    </w:p>
    <w:p w14:paraId="72D0326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（4）应按照招标文件规定推荐中标候选人或确定中标人。</w:t>
      </w:r>
    </w:p>
    <w:p w14:paraId="3AA04D2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（5）评标应遵守下列评标纪律：</w:t>
      </w:r>
    </w:p>
    <w:p w14:paraId="5D28080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①评标情况不得私自外泄，有关信息由 三明华建招标代理有限公司 统一对外发布。</w:t>
      </w:r>
    </w:p>
    <w:p w14:paraId="7BB4832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②对 三明华建招标代理有限公司 或投标人提供的要求保密的资料，不得摘记翻印和外传。</w:t>
      </w:r>
    </w:p>
    <w:p w14:paraId="09CC700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③不得收受投标人或有关人员的任何礼物，不得串联鼓动其他人袒护某投标人。若与投标人存在利害关系，则应主动声明并回避。</w:t>
      </w:r>
    </w:p>
    <w:p w14:paraId="2186E45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④全体评委应按照招标文件规定进行评标，一切认定事项应查有实据且不得弄虚作假。</w:t>
      </w:r>
    </w:p>
    <w:p w14:paraId="40FA3D23">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⑤评标中应充分发扬民主，推荐中标候选人或确定中标人后要服从评标报告。</w:t>
      </w:r>
    </w:p>
    <w:p w14:paraId="21B4B9B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※对违反评标纪律的评委，将取消其评委资格，对评标工作造成严重损失者将予以通报批评乃至追究法律责任。</w:t>
      </w:r>
    </w:p>
    <w:p w14:paraId="15ED7C9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6、评标程序</w:t>
      </w:r>
    </w:p>
    <w:p w14:paraId="464FEEF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6.1评标前的准备工作</w:t>
      </w:r>
    </w:p>
    <w:p w14:paraId="79BFB16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（1）全体评委应认真审阅招标文件，了解评委应履行或遵守的职责、义务和评标纪律。</w:t>
      </w:r>
    </w:p>
    <w:p w14:paraId="383177A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（2）参加评标委员会的采购人代表可对本项目的背景和采购需求进行介绍，介绍材料应以书面形式提交（随采购文件一并存档），介绍内容不得含有歧视性、倾向性意见，不得超出招标文件所述范围。</w:t>
      </w:r>
    </w:p>
    <w:p w14:paraId="5661296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6.2符合性审查</w:t>
      </w:r>
    </w:p>
    <w:p w14:paraId="2DBC0ED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（1）评标委员会依据招标文件的实质性要求，对通过资格审查的电子投标文件进行符合性审查，以确定其是否满足招标文件的实质性要求。</w:t>
      </w:r>
    </w:p>
    <w:p w14:paraId="682EDB4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（2）满足招标文件的实质性要求指电子投标文件对招标文件实质性要求的响应不存在重大偏差或保留。</w:t>
      </w:r>
    </w:p>
    <w:p w14:paraId="0BD64B6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14:paraId="7BB3AD0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14:paraId="5A552CE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（5）评标委员会对所有投标人都执行相同的程序和标准。</w:t>
      </w:r>
    </w:p>
    <w:p w14:paraId="3DCB13A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（6）有下列情形之一的，符合性审查不合格：</w:t>
      </w:r>
    </w:p>
    <w:p w14:paraId="0D069CE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①项目一般情形：</w:t>
      </w:r>
    </w:p>
    <w:p w14:paraId="4469AC2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5177"/>
      </w:tblGrid>
      <w:tr w14:paraId="1D2723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49B78B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序号</w:t>
            </w:r>
          </w:p>
        </w:tc>
        <w:tc>
          <w:tcPr>
            <w:tcW w:w="3115" w:type="dxa"/>
          </w:tcPr>
          <w:p w14:paraId="081F05B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符合审查要求概况</w:t>
            </w:r>
          </w:p>
        </w:tc>
        <w:tc>
          <w:tcPr>
            <w:tcW w:w="5177" w:type="dxa"/>
          </w:tcPr>
          <w:p w14:paraId="7C42B1A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评审点具体描述</w:t>
            </w:r>
          </w:p>
        </w:tc>
      </w:tr>
      <w:tr w14:paraId="0E2C9F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597CCE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3115" w:type="dxa"/>
          </w:tcPr>
          <w:p w14:paraId="700027D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情形1</w:t>
            </w:r>
          </w:p>
        </w:tc>
        <w:tc>
          <w:tcPr>
            <w:tcW w:w="5177" w:type="dxa"/>
          </w:tcPr>
          <w:p w14:paraId="589018B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违反招标文件中载明“投标无效”条款的规定；</w:t>
            </w:r>
          </w:p>
        </w:tc>
      </w:tr>
      <w:tr w14:paraId="1B9FAB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877326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p>
        </w:tc>
        <w:tc>
          <w:tcPr>
            <w:tcW w:w="3115" w:type="dxa"/>
          </w:tcPr>
          <w:p w14:paraId="1158345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情形2</w:t>
            </w:r>
          </w:p>
        </w:tc>
        <w:tc>
          <w:tcPr>
            <w:tcW w:w="5177" w:type="dxa"/>
          </w:tcPr>
          <w:p w14:paraId="02B9755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属于招标文件第三章第10.12条规定的投标无效情形；</w:t>
            </w:r>
          </w:p>
        </w:tc>
      </w:tr>
      <w:tr w14:paraId="6F7381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7B88E5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w:t>
            </w:r>
          </w:p>
        </w:tc>
        <w:tc>
          <w:tcPr>
            <w:tcW w:w="3115" w:type="dxa"/>
          </w:tcPr>
          <w:p w14:paraId="26DAE00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情形3</w:t>
            </w:r>
          </w:p>
        </w:tc>
        <w:tc>
          <w:tcPr>
            <w:tcW w:w="5177" w:type="dxa"/>
          </w:tcPr>
          <w:p w14:paraId="4E26DF2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投标文件对招标文件实质性要求的响应存在重大偏离或保留。</w:t>
            </w:r>
          </w:p>
        </w:tc>
      </w:tr>
    </w:tbl>
    <w:p w14:paraId="4DC0703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②本项目规定的其他情形：</w:t>
      </w:r>
    </w:p>
    <w:p w14:paraId="1DAB5B4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w:t>
      </w:r>
    </w:p>
    <w:p w14:paraId="5C1FAD97">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技术符合性：无</w:t>
      </w:r>
    </w:p>
    <w:p w14:paraId="3B27816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商务符合性：无</w:t>
      </w:r>
    </w:p>
    <w:p w14:paraId="3B0C0BF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价格符合性：无</w:t>
      </w:r>
    </w:p>
    <w:p w14:paraId="72F8701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6.3澄清有关问题</w:t>
      </w:r>
    </w:p>
    <w:p w14:paraId="1349118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（1）对通过符合性审查的电子投标文件中含义不明确、同类问题表述不一致或有明显文字和计算错误的内容，评标委员会将以书面形式要求投标人作出必要的澄清、说明或补正。</w:t>
      </w:r>
    </w:p>
    <w:p w14:paraId="6484B1D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14:paraId="5111F39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（3）电子投标文件报价出现前后不一致的，除招标文件另有规定外，按照下列规定修正：</w:t>
      </w:r>
    </w:p>
    <w:p w14:paraId="5847384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①开标（报价）一览表内容与电子投标文件中相应内容不一致的，以开标（报价）一览表为准；</w:t>
      </w:r>
    </w:p>
    <w:p w14:paraId="4938264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②大写金额和小写金额不一致的，以大写金额为准；</w:t>
      </w:r>
    </w:p>
    <w:p w14:paraId="4C2E8B5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③单价金额小数点或百分比有明显错位的，以开标（报价）一览表的总价为准，并修改单价；</w:t>
      </w:r>
    </w:p>
    <w:p w14:paraId="7964146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④总价金额与按照单价汇总金额不一致的，以单价金额计算结果为准。</w:t>
      </w:r>
    </w:p>
    <w:p w14:paraId="57E468E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※同时出现两种以上不一致的，按照前款规定的顺序修正。修正后的报价应按照本章第6.3条第（1）、（2）款规定经投标人确认后产生约束力，投标人不确认的，其投标无效。</w:t>
      </w:r>
    </w:p>
    <w:p w14:paraId="2CA7AE7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（4）关于细微偏差</w:t>
      </w:r>
    </w:p>
    <w:p w14:paraId="5254D01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14:paraId="5216EEC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②评标委员会将以书面形式要求存在细微偏差的投标人在评标委员会规定的时间内予以补正。若无法补正，则评标委员会将按照不利于投标人的内容进行认定。</w:t>
      </w:r>
    </w:p>
    <w:p w14:paraId="6BB2FF7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（5）关于投标描述（即电子投标文件中描述的内容）</w:t>
      </w:r>
    </w:p>
    <w:p w14:paraId="00D1875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①投标描述前后不一致且不涉及证明材料的：按照本章第6.3条第（1）、（2）款规定执行。</w:t>
      </w:r>
    </w:p>
    <w:p w14:paraId="79102175">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②投标描述与证明材料不一致或多份证明材料之间不一致的：</w:t>
      </w:r>
    </w:p>
    <w:p w14:paraId="7897E43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a.评标委员会将要求投标人进行书面澄清，并按照不利于投标人的内容进行评标。</w:t>
      </w:r>
    </w:p>
    <w:p w14:paraId="64DEFD1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14:paraId="7CDEBC5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4DADEDA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6.4比较与评价</w:t>
      </w:r>
    </w:p>
    <w:p w14:paraId="0979756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（1）按照本章第7条载明的评标方法和标准，对符合性审查合格的电子投标文件进行比较与评价。</w:t>
      </w:r>
    </w:p>
    <w:p w14:paraId="128A87B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（2）关于相同品牌产品（政府采购服务类项目不适用本条款规定）</w:t>
      </w:r>
    </w:p>
    <w:p w14:paraId="55BC87B3">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14:paraId="131A5F7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a.招标文件规定的方式：</w:t>
      </w:r>
    </w:p>
    <w:p w14:paraId="60F1BBF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w:t>
      </w:r>
    </w:p>
    <w:p w14:paraId="7B56188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b.招标文件未规定的，采取随机抽取方式确定，其他投标无效。</w:t>
      </w:r>
    </w:p>
    <w:p w14:paraId="244E7D7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14:paraId="7B49893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a.招标文件规定的方式：</w:t>
      </w:r>
    </w:p>
    <w:p w14:paraId="5B1FC7A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标候选人并列的，则按“价格部分”的得分高低排序；若价格得分相同则按“技术部分”的得分高低排序；若评审得分相同且价格部分与技术部分得分也相同的，则按“商务部分”的得分高低排序；若评审得分相同、价格部分得分相同且技术部分得分与商务部分得分也相同的，则采取随机抽取方式确定。</w:t>
      </w:r>
    </w:p>
    <w:p w14:paraId="77535CD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b.招标文件未规定的，采取随机抽取方式确定，其他同品牌投标人不作为中标候选人。</w:t>
      </w:r>
    </w:p>
    <w:p w14:paraId="6532A31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③非单一产品采购项目，多家投标人提供的核心产品品牌相同的，按照本章第6.4条第（2）款第①、②规定处理。</w:t>
      </w:r>
    </w:p>
    <w:p w14:paraId="56D6321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（3）漏（缺）项</w:t>
      </w:r>
    </w:p>
    <w:p w14:paraId="6BC226C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①招标文件中要求列入报价的费用（含配置、功能），漏（缺）项的报价视为已经包括在投标总价中。</w:t>
      </w:r>
    </w:p>
    <w:p w14:paraId="50392A7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②对多报项及赠送项的价格评标时不予核减，全部进入评标价评议。</w:t>
      </w:r>
    </w:p>
    <w:p w14:paraId="487CC59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6.5推荐中标候选人：详见本章第7.2条规定。</w:t>
      </w:r>
    </w:p>
    <w:p w14:paraId="32384E5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6.6编写评标报告</w:t>
      </w:r>
    </w:p>
    <w:p w14:paraId="564E3703">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（1）评标报告由评标委员会负责编写。</w:t>
      </w:r>
    </w:p>
    <w:p w14:paraId="0628758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（2）评标报告应包括下列内容：</w:t>
      </w:r>
    </w:p>
    <w:p w14:paraId="61BEDF9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①招标公告刊登的媒体名称、开标日期和地点；</w:t>
      </w:r>
    </w:p>
    <w:p w14:paraId="2FBFA24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②投标人名单和评标委员会成员名单；</w:t>
      </w:r>
    </w:p>
    <w:p w14:paraId="106FE79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③评标方法和标准；</w:t>
      </w:r>
    </w:p>
    <w:p w14:paraId="42E4B2F1">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④开标记录和评标情况及说明，包括无效投标人名单及原因；</w:t>
      </w:r>
    </w:p>
    <w:p w14:paraId="6607E39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⑤评标结果，包括中标候选人名单或确定的中标人；</w:t>
      </w:r>
    </w:p>
    <w:p w14:paraId="456F47E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⑥其他需要说明的情况，包括但不限于：评标过程中投标人的澄清、说明或补正，评委更换等。</w:t>
      </w:r>
    </w:p>
    <w:p w14:paraId="3D84E4F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14:paraId="4E89FD24">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6.8评委对需要共同认定的事项存在争议的，应按照少数服从多数的原则进行认定。持不同意见的评委应在评标报告上签署不同意见及理由，否则视为同意评标报告。</w:t>
      </w:r>
    </w:p>
    <w:p w14:paraId="442C04B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6.9在评标过程中发现投标人有下列情形之一的，评标委员会应认定其投标无效，并书面报告本项目监督管理部门：</w:t>
      </w:r>
    </w:p>
    <w:p w14:paraId="41F5770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（1）恶意串通（包括但不限于招标文件第三章第9.7条规定情形）；</w:t>
      </w:r>
    </w:p>
    <w:p w14:paraId="4B8DFD4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（2）妨碍其他投标人的竞争行为；</w:t>
      </w:r>
    </w:p>
    <w:p w14:paraId="1460EC4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（3）损害采购人或其他投标人的合法权益。</w:t>
      </w:r>
    </w:p>
    <w:p w14:paraId="4C2C698C">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6.10评标过程中，有下列情形之一的，应予废标：</w:t>
      </w:r>
    </w:p>
    <w:p w14:paraId="2AF9FDCF">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（1）符合性审查合格的投标人不足三家的；</w:t>
      </w:r>
    </w:p>
    <w:p w14:paraId="71709B7D">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（2）有关法律、法规和规章规定废标的情形。</w:t>
      </w:r>
    </w:p>
    <w:p w14:paraId="08AA534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※若废标，则本次采购活动结束， 三明华建招标代理有限公司 将依法组织后续采购活动（包括但不限于：重新招标、采用其他方式采购等）。</w:t>
      </w:r>
    </w:p>
    <w:p w14:paraId="445DFCD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7、评标方法和标准</w:t>
      </w:r>
    </w:p>
    <w:p w14:paraId="1F4C384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7.1评标方法：</w:t>
      </w:r>
    </w:p>
    <w:p w14:paraId="51F03842">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采购包1：综合评分法</w:t>
      </w:r>
    </w:p>
    <w:p w14:paraId="1436A31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7.2评标标准</w:t>
      </w:r>
    </w:p>
    <w:p w14:paraId="2C5FC4D7">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采购包1：综合评分法</w:t>
      </w:r>
    </w:p>
    <w:p w14:paraId="21435136">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（1）投标文件满足招标文件全部实质性要求，且按照评审因素的量化指标评审得分（即评标总得分）最高的投标人为中标候选人。</w:t>
      </w:r>
    </w:p>
    <w:p w14:paraId="6FE0627D">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3612924D">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各项评审因素的设置如下：</w:t>
      </w:r>
    </w:p>
    <w:p w14:paraId="1822489B">
      <w:pPr>
        <w:pStyle w:val="8"/>
        <w:spacing w:line="440" w:lineRule="exact"/>
        <w:jc w:val="both"/>
        <w:rPr>
          <w:rFonts w:hint="default"/>
          <w:color w:val="auto"/>
          <w:sz w:val="24"/>
          <w:szCs w:val="24"/>
          <w:highlight w:val="none"/>
          <w:lang w:eastAsia="zh-CN"/>
        </w:rPr>
      </w:pPr>
      <w:r>
        <w:rPr>
          <w:color w:val="auto"/>
          <w:sz w:val="24"/>
          <w:szCs w:val="24"/>
          <w:highlight w:val="none"/>
        </w:rPr>
        <w:t>价格项（F1×A1）满分为</w:t>
      </w:r>
      <w:r>
        <w:rPr>
          <w:color w:val="auto"/>
          <w:sz w:val="24"/>
          <w:szCs w:val="24"/>
          <w:highlight w:val="none"/>
          <w:lang w:eastAsia="zh-CN"/>
        </w:rPr>
        <w:t>10分</w:t>
      </w:r>
    </w:p>
    <w:p w14:paraId="09C41522">
      <w:pPr>
        <w:pStyle w:val="8"/>
        <w:spacing w:line="440" w:lineRule="exact"/>
        <w:jc w:val="both"/>
        <w:rPr>
          <w:rFonts w:hint="default"/>
          <w:color w:val="auto"/>
          <w:sz w:val="24"/>
          <w:szCs w:val="24"/>
          <w:highlight w:val="none"/>
        </w:rPr>
      </w:pPr>
      <w:r>
        <w:rPr>
          <w:color w:val="auto"/>
          <w:sz w:val="24"/>
          <w:szCs w:val="24"/>
          <w:highlight w:val="none"/>
        </w:rPr>
        <w:t xml:space="preserve"> 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14:paraId="3805C31C">
      <w:pPr>
        <w:pStyle w:val="8"/>
        <w:spacing w:line="440" w:lineRule="exact"/>
        <w:jc w:val="both"/>
        <w:rPr>
          <w:rFonts w:hint="default"/>
          <w:color w:val="auto"/>
          <w:sz w:val="24"/>
          <w:szCs w:val="24"/>
          <w:highlight w:val="none"/>
          <w:lang w:eastAsia="zh-CN"/>
        </w:rPr>
      </w:pPr>
      <w:r>
        <w:rPr>
          <w:color w:val="auto"/>
          <w:sz w:val="24"/>
          <w:szCs w:val="24"/>
          <w:highlight w:val="none"/>
        </w:rPr>
        <w:t>技术项（F2×A2）满分为</w:t>
      </w:r>
      <w:r>
        <w:rPr>
          <w:color w:val="auto"/>
          <w:sz w:val="24"/>
          <w:szCs w:val="24"/>
          <w:highlight w:val="none"/>
          <w:lang w:eastAsia="zh-CN"/>
        </w:rPr>
        <w:t>7</w:t>
      </w:r>
      <w:r>
        <w:rPr>
          <w:rFonts w:hint="eastAsia"/>
          <w:color w:val="auto"/>
          <w:sz w:val="24"/>
          <w:szCs w:val="24"/>
          <w:highlight w:val="none"/>
          <w:lang w:val="en-US" w:eastAsia="zh-CN"/>
        </w:rPr>
        <w:t>8</w:t>
      </w:r>
      <w:r>
        <w:rPr>
          <w:color w:val="auto"/>
          <w:sz w:val="24"/>
          <w:szCs w:val="24"/>
          <w:highlight w:val="none"/>
          <w:lang w:eastAsia="zh-CN"/>
        </w:rPr>
        <w:t>分</w:t>
      </w:r>
    </w:p>
    <w:tbl>
      <w:tblPr>
        <w:tblStyle w:val="5"/>
        <w:tblW w:w="93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1"/>
        <w:gridCol w:w="994"/>
        <w:gridCol w:w="1686"/>
        <w:gridCol w:w="5703"/>
      </w:tblGrid>
      <w:tr w14:paraId="39509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tcPr>
          <w:p w14:paraId="44B5FE1E">
            <w:pPr>
              <w:pStyle w:val="8"/>
              <w:spacing w:line="440" w:lineRule="exact"/>
              <w:jc w:val="both"/>
              <w:rPr>
                <w:rFonts w:hint="default"/>
                <w:color w:val="auto"/>
                <w:sz w:val="24"/>
                <w:szCs w:val="24"/>
                <w:highlight w:val="none"/>
              </w:rPr>
            </w:pPr>
            <w:r>
              <w:rPr>
                <w:color w:val="auto"/>
                <w:sz w:val="24"/>
                <w:szCs w:val="24"/>
                <w:highlight w:val="none"/>
              </w:rPr>
              <w:t xml:space="preserve"> 项目</w:t>
            </w:r>
          </w:p>
        </w:tc>
        <w:tc>
          <w:tcPr>
            <w:tcW w:w="994" w:type="dxa"/>
          </w:tcPr>
          <w:p w14:paraId="0C655EAC">
            <w:pPr>
              <w:pStyle w:val="8"/>
              <w:spacing w:line="440" w:lineRule="exact"/>
              <w:jc w:val="both"/>
              <w:rPr>
                <w:rFonts w:hint="default"/>
                <w:color w:val="auto"/>
                <w:sz w:val="24"/>
                <w:szCs w:val="24"/>
                <w:highlight w:val="none"/>
              </w:rPr>
            </w:pPr>
            <w:r>
              <w:rPr>
                <w:color w:val="auto"/>
                <w:sz w:val="24"/>
                <w:szCs w:val="24"/>
                <w:highlight w:val="none"/>
              </w:rPr>
              <w:t xml:space="preserve"> 分值</w:t>
            </w:r>
          </w:p>
        </w:tc>
        <w:tc>
          <w:tcPr>
            <w:tcW w:w="1686" w:type="dxa"/>
          </w:tcPr>
          <w:p w14:paraId="7B2975E6">
            <w:pPr>
              <w:pStyle w:val="8"/>
              <w:spacing w:line="440" w:lineRule="exact"/>
              <w:jc w:val="both"/>
              <w:rPr>
                <w:color w:val="auto"/>
                <w:sz w:val="24"/>
                <w:szCs w:val="24"/>
                <w:highlight w:val="none"/>
              </w:rPr>
            </w:pPr>
            <w:r>
              <w:rPr>
                <w:rFonts w:ascii="宋体" w:hAnsi="宋体" w:cs="仿宋_GB2312"/>
                <w:color w:val="auto"/>
                <w:highlight w:val="none"/>
              </w:rPr>
              <w:t>是否客观项</w:t>
            </w:r>
          </w:p>
        </w:tc>
        <w:tc>
          <w:tcPr>
            <w:tcW w:w="5703" w:type="dxa"/>
          </w:tcPr>
          <w:p w14:paraId="0C8B678B">
            <w:pPr>
              <w:pStyle w:val="8"/>
              <w:spacing w:line="440" w:lineRule="exact"/>
              <w:jc w:val="both"/>
              <w:rPr>
                <w:rFonts w:hint="default"/>
                <w:color w:val="auto"/>
                <w:sz w:val="24"/>
                <w:szCs w:val="24"/>
                <w:highlight w:val="none"/>
              </w:rPr>
            </w:pPr>
            <w:r>
              <w:rPr>
                <w:color w:val="auto"/>
                <w:sz w:val="24"/>
                <w:szCs w:val="24"/>
                <w:highlight w:val="none"/>
              </w:rPr>
              <w:t xml:space="preserve"> 描述</w:t>
            </w:r>
          </w:p>
        </w:tc>
      </w:tr>
      <w:tr w14:paraId="0EB01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1" w:type="dxa"/>
            <w:vAlign w:val="center"/>
          </w:tcPr>
          <w:p w14:paraId="02B532F6">
            <w:pPr>
              <w:pStyle w:val="8"/>
              <w:spacing w:line="440" w:lineRule="exact"/>
              <w:jc w:val="center"/>
              <w:rPr>
                <w:rFonts w:hint="default"/>
                <w:color w:val="auto"/>
                <w:sz w:val="24"/>
                <w:szCs w:val="24"/>
                <w:highlight w:val="none"/>
                <w:lang w:eastAsia="zh-CN"/>
              </w:rPr>
            </w:pPr>
            <w:r>
              <w:rPr>
                <w:color w:val="auto"/>
                <w:sz w:val="24"/>
                <w:szCs w:val="24"/>
                <w:highlight w:val="none"/>
                <w:lang w:eastAsia="zh-CN"/>
              </w:rPr>
              <w:t>1.技术性能和功能</w:t>
            </w:r>
          </w:p>
        </w:tc>
        <w:tc>
          <w:tcPr>
            <w:tcW w:w="994" w:type="dxa"/>
            <w:vAlign w:val="center"/>
          </w:tcPr>
          <w:p w14:paraId="2CEEEBC9">
            <w:pPr>
              <w:pStyle w:val="8"/>
              <w:spacing w:line="440" w:lineRule="exact"/>
              <w:jc w:val="center"/>
              <w:rPr>
                <w:rFonts w:hint="default"/>
                <w:color w:val="auto"/>
                <w:sz w:val="24"/>
                <w:szCs w:val="24"/>
                <w:highlight w:val="none"/>
                <w:lang w:val="en-US" w:eastAsia="zh-CN"/>
              </w:rPr>
            </w:pPr>
            <w:r>
              <w:rPr>
                <w:color w:val="auto"/>
                <w:sz w:val="24"/>
                <w:szCs w:val="24"/>
                <w:highlight w:val="none"/>
                <w:lang w:eastAsia="zh-CN"/>
              </w:rPr>
              <w:t>4</w:t>
            </w:r>
            <w:r>
              <w:rPr>
                <w:rFonts w:hint="eastAsia"/>
                <w:color w:val="auto"/>
                <w:sz w:val="24"/>
                <w:szCs w:val="24"/>
                <w:highlight w:val="none"/>
                <w:lang w:val="en-US" w:eastAsia="zh-CN"/>
              </w:rPr>
              <w:t>8.00</w:t>
            </w:r>
          </w:p>
        </w:tc>
        <w:tc>
          <w:tcPr>
            <w:tcW w:w="1686" w:type="dxa"/>
            <w:vAlign w:val="center"/>
          </w:tcPr>
          <w:p w14:paraId="669074D1">
            <w:pPr>
              <w:pStyle w:val="8"/>
              <w:spacing w:line="440" w:lineRule="exact"/>
              <w:jc w:val="center"/>
              <w:rPr>
                <w:rFonts w:hint="default"/>
                <w:color w:val="auto"/>
                <w:sz w:val="24"/>
                <w:szCs w:val="24"/>
                <w:highlight w:val="none"/>
                <w:lang w:val="en-US" w:eastAsia="zh-CN"/>
              </w:rPr>
            </w:pPr>
            <w:r>
              <w:rPr>
                <w:rFonts w:hint="eastAsia"/>
                <w:color w:val="auto"/>
                <w:sz w:val="24"/>
                <w:szCs w:val="24"/>
                <w:highlight w:val="none"/>
                <w:lang w:val="en-US" w:eastAsia="zh-CN"/>
              </w:rPr>
              <w:t>是</w:t>
            </w:r>
          </w:p>
        </w:tc>
        <w:tc>
          <w:tcPr>
            <w:tcW w:w="5703" w:type="dxa"/>
            <w:vAlign w:val="center"/>
          </w:tcPr>
          <w:p w14:paraId="72DBA433">
            <w:pPr>
              <w:spacing w:line="440" w:lineRule="exact"/>
              <w:jc w:val="both"/>
              <w:textAlignment w:val="center"/>
              <w:rPr>
                <w:rFonts w:hint="eastAsia" w:eastAsiaTheme="minorEastAsia"/>
                <w:color w:val="auto"/>
                <w:kern w:val="0"/>
                <w:sz w:val="24"/>
                <w:highlight w:val="none"/>
                <w:lang w:val="en-US" w:eastAsia="zh-CN"/>
              </w:rPr>
            </w:pPr>
            <w:r>
              <w:rPr>
                <w:rFonts w:hint="eastAsia"/>
                <w:color w:val="auto"/>
                <w:kern w:val="0"/>
                <w:sz w:val="24"/>
                <w:highlight w:val="none"/>
                <w:lang w:eastAsia="zh-Hans"/>
              </w:rPr>
              <w:t>根据</w:t>
            </w:r>
            <w:r>
              <w:rPr>
                <w:rFonts w:hint="eastAsia"/>
                <w:color w:val="auto"/>
                <w:kern w:val="0"/>
                <w:sz w:val="24"/>
                <w:highlight w:val="none"/>
                <w:lang w:eastAsia="zh-CN"/>
              </w:rPr>
              <w:t>投标人</w:t>
            </w:r>
            <w:r>
              <w:rPr>
                <w:rFonts w:hint="eastAsia"/>
                <w:color w:val="auto"/>
                <w:kern w:val="0"/>
                <w:sz w:val="24"/>
                <w:highlight w:val="none"/>
                <w:lang w:eastAsia="zh-Hans"/>
              </w:rPr>
              <w:t>对招标文件中第</w:t>
            </w:r>
            <w:r>
              <w:rPr>
                <w:rFonts w:hint="eastAsia"/>
                <w:color w:val="auto"/>
                <w:kern w:val="0"/>
                <w:sz w:val="24"/>
                <w:highlight w:val="none"/>
              </w:rPr>
              <w:t>五</w:t>
            </w:r>
            <w:r>
              <w:rPr>
                <w:rFonts w:hint="eastAsia"/>
                <w:color w:val="auto"/>
                <w:kern w:val="0"/>
                <w:sz w:val="24"/>
                <w:highlight w:val="none"/>
                <w:lang w:eastAsia="zh-Hans"/>
              </w:rPr>
              <w:t>章采购内容及要求“二、技术和服务要求”响应情况，由评审小组进行评分，全部满足招标文件要求的得</w:t>
            </w:r>
            <w:r>
              <w:rPr>
                <w:rFonts w:hint="eastAsia"/>
                <w:color w:val="auto"/>
                <w:kern w:val="0"/>
                <w:sz w:val="24"/>
                <w:highlight w:val="none"/>
              </w:rPr>
              <w:t>4</w:t>
            </w:r>
            <w:r>
              <w:rPr>
                <w:rFonts w:hint="eastAsia"/>
                <w:color w:val="auto"/>
                <w:kern w:val="0"/>
                <w:sz w:val="24"/>
                <w:highlight w:val="none"/>
                <w:lang w:val="en-US" w:eastAsia="zh-CN"/>
              </w:rPr>
              <w:t>8</w:t>
            </w:r>
            <w:r>
              <w:rPr>
                <w:rFonts w:hint="eastAsia"/>
                <w:color w:val="auto"/>
                <w:kern w:val="0"/>
                <w:sz w:val="24"/>
                <w:highlight w:val="none"/>
                <w:lang w:eastAsia="zh-Hans"/>
              </w:rPr>
              <w:t>分，其中带“★”的为实质性要求，若出现负偏离按无效响应处理；其余参数（共</w:t>
            </w:r>
            <w:r>
              <w:rPr>
                <w:rFonts w:hint="eastAsia"/>
                <w:color w:val="auto"/>
                <w:kern w:val="0"/>
                <w:sz w:val="24"/>
                <w:highlight w:val="none"/>
                <w:lang w:val="en-US" w:eastAsia="zh-CN"/>
              </w:rPr>
              <w:t>16</w:t>
            </w:r>
            <w:r>
              <w:rPr>
                <w:rFonts w:hint="eastAsia"/>
                <w:color w:val="auto"/>
                <w:kern w:val="0"/>
                <w:sz w:val="24"/>
                <w:highlight w:val="none"/>
                <w:lang w:eastAsia="zh-Hans"/>
              </w:rPr>
              <w:t>项）每负偏离一项扣</w:t>
            </w:r>
            <w:r>
              <w:rPr>
                <w:rFonts w:hint="eastAsia"/>
                <w:color w:val="auto"/>
                <w:kern w:val="0"/>
                <w:sz w:val="24"/>
                <w:highlight w:val="none"/>
                <w:lang w:val="en-US" w:eastAsia="zh-CN"/>
              </w:rPr>
              <w:t>3</w:t>
            </w:r>
            <w:r>
              <w:rPr>
                <w:rFonts w:hint="eastAsia"/>
                <w:color w:val="auto"/>
                <w:kern w:val="0"/>
                <w:sz w:val="24"/>
                <w:highlight w:val="none"/>
                <w:lang w:eastAsia="zh-Hans"/>
              </w:rPr>
              <w:t>分</w:t>
            </w:r>
            <w:r>
              <w:rPr>
                <w:rFonts w:hint="eastAsia"/>
                <w:color w:val="auto"/>
                <w:sz w:val="24"/>
                <w:highlight w:val="none"/>
              </w:rPr>
              <w:t>，</w:t>
            </w:r>
            <w:r>
              <w:rPr>
                <w:rFonts w:hint="eastAsia"/>
                <w:color w:val="auto"/>
                <w:kern w:val="0"/>
                <w:sz w:val="24"/>
                <w:highlight w:val="none"/>
              </w:rPr>
              <w:t>扣完为止</w:t>
            </w:r>
            <w:r>
              <w:rPr>
                <w:rFonts w:hint="eastAsia"/>
                <w:color w:val="auto"/>
                <w:kern w:val="0"/>
                <w:sz w:val="24"/>
                <w:highlight w:val="none"/>
                <w:lang w:eastAsia="zh-CN"/>
              </w:rPr>
              <w:t>。</w:t>
            </w:r>
          </w:p>
        </w:tc>
      </w:tr>
      <w:tr w14:paraId="2CC5A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31FD3AD3">
            <w:pPr>
              <w:pStyle w:val="8"/>
              <w:spacing w:line="440" w:lineRule="exact"/>
              <w:jc w:val="center"/>
              <w:rPr>
                <w:rFonts w:hint="default" w:asciiTheme="minorHAnsi" w:hAnsiTheme="minorHAnsi" w:eastAsiaTheme="minorEastAsia" w:cstheme="minorBidi"/>
                <w:color w:val="auto"/>
                <w:kern w:val="0"/>
                <w:sz w:val="24"/>
                <w:szCs w:val="24"/>
                <w:highlight w:val="none"/>
                <w:lang w:val="en-US" w:eastAsia="zh-CN" w:bidi="ar-SA"/>
              </w:rPr>
            </w:pPr>
            <w:r>
              <w:rPr>
                <w:rFonts w:hint="eastAsia" w:asciiTheme="minorHAnsi" w:hAnsiTheme="minorHAnsi" w:eastAsiaTheme="minorEastAsia" w:cstheme="minorBidi"/>
                <w:color w:val="auto"/>
                <w:kern w:val="0"/>
                <w:sz w:val="24"/>
                <w:szCs w:val="24"/>
                <w:highlight w:val="none"/>
                <w:lang w:val="en-US" w:eastAsia="zh-CN" w:bidi="ar-SA"/>
              </w:rPr>
              <w:t>2.车辆保障</w:t>
            </w:r>
          </w:p>
        </w:tc>
        <w:tc>
          <w:tcPr>
            <w:tcW w:w="994" w:type="dxa"/>
            <w:vAlign w:val="center"/>
          </w:tcPr>
          <w:p w14:paraId="1082EF6E">
            <w:pPr>
              <w:pStyle w:val="8"/>
              <w:spacing w:line="440" w:lineRule="exact"/>
              <w:jc w:val="center"/>
              <w:rPr>
                <w:rFonts w:hint="default" w:asciiTheme="minorHAnsi" w:hAnsiTheme="minorHAnsi" w:eastAsiaTheme="minorEastAsia" w:cstheme="minorBidi"/>
                <w:color w:val="auto"/>
                <w:kern w:val="0"/>
                <w:sz w:val="24"/>
                <w:szCs w:val="24"/>
                <w:highlight w:val="none"/>
                <w:lang w:val="en-US" w:eastAsia="zh-CN" w:bidi="ar-SA"/>
              </w:rPr>
            </w:pPr>
            <w:r>
              <w:rPr>
                <w:rFonts w:hint="eastAsia" w:asciiTheme="minorHAnsi" w:hAnsiTheme="minorHAnsi" w:eastAsiaTheme="minorEastAsia" w:cstheme="minorBidi"/>
                <w:color w:val="auto"/>
                <w:kern w:val="0"/>
                <w:sz w:val="24"/>
                <w:szCs w:val="24"/>
                <w:highlight w:val="none"/>
                <w:lang w:val="en-US" w:eastAsia="zh-CN" w:bidi="ar-SA"/>
              </w:rPr>
              <w:t>3.00</w:t>
            </w:r>
          </w:p>
        </w:tc>
        <w:tc>
          <w:tcPr>
            <w:tcW w:w="1686" w:type="dxa"/>
            <w:vAlign w:val="center"/>
          </w:tcPr>
          <w:p w14:paraId="330C7879">
            <w:pPr>
              <w:pStyle w:val="8"/>
              <w:spacing w:line="440" w:lineRule="exact"/>
              <w:jc w:val="center"/>
              <w:rPr>
                <w:rFonts w:hint="default" w:asciiTheme="minorHAnsi" w:hAnsiTheme="minorHAnsi" w:eastAsiaTheme="minorEastAsia" w:cstheme="minorBidi"/>
                <w:color w:val="auto"/>
                <w:kern w:val="0"/>
                <w:sz w:val="24"/>
                <w:szCs w:val="24"/>
                <w:highlight w:val="none"/>
                <w:lang w:val="en-US" w:eastAsia="zh-CN" w:bidi="ar-SA"/>
              </w:rPr>
            </w:pPr>
            <w:r>
              <w:rPr>
                <w:rFonts w:hint="eastAsia" w:asciiTheme="minorHAnsi" w:hAnsiTheme="minorHAnsi" w:eastAsiaTheme="minorEastAsia" w:cstheme="minorBidi"/>
                <w:color w:val="auto"/>
                <w:kern w:val="0"/>
                <w:sz w:val="24"/>
                <w:szCs w:val="24"/>
                <w:highlight w:val="none"/>
                <w:lang w:val="en-US" w:eastAsia="zh-CN" w:bidi="ar-SA"/>
              </w:rPr>
              <w:t>是</w:t>
            </w:r>
          </w:p>
        </w:tc>
        <w:tc>
          <w:tcPr>
            <w:tcW w:w="5703" w:type="dxa"/>
            <w:vAlign w:val="center"/>
          </w:tcPr>
          <w:p w14:paraId="1081AE76">
            <w:pPr>
              <w:pStyle w:val="8"/>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inorHAnsi" w:hAnsiTheme="minorHAnsi" w:eastAsiaTheme="minorEastAsia" w:cstheme="minorBidi"/>
                <w:color w:val="auto"/>
                <w:kern w:val="0"/>
                <w:sz w:val="24"/>
                <w:szCs w:val="24"/>
                <w:highlight w:val="none"/>
                <w:lang w:val="en-US" w:eastAsia="zh-Hans" w:bidi="ar-SA"/>
              </w:rPr>
            </w:pPr>
            <w:r>
              <w:rPr>
                <w:rFonts w:hint="eastAsia" w:asciiTheme="minorHAnsi" w:hAnsiTheme="minorHAnsi" w:eastAsiaTheme="minorEastAsia" w:cstheme="minorBidi"/>
                <w:color w:val="auto"/>
                <w:kern w:val="0"/>
                <w:sz w:val="24"/>
                <w:szCs w:val="24"/>
                <w:highlight w:val="none"/>
                <w:lang w:val="en-US" w:eastAsia="zh-CN" w:bidi="ar-SA"/>
              </w:rPr>
              <w:t>投标人具备自有或租赁车辆冷藏车3</w:t>
            </w:r>
            <w:r>
              <w:rPr>
                <w:rFonts w:hint="eastAsia" w:cstheme="minorBidi"/>
                <w:color w:val="auto"/>
                <w:kern w:val="0"/>
                <w:sz w:val="24"/>
                <w:szCs w:val="24"/>
                <w:highlight w:val="none"/>
                <w:lang w:val="en-US" w:eastAsia="zh-CN" w:bidi="ar-SA"/>
              </w:rPr>
              <w:t>辆</w:t>
            </w:r>
            <w:r>
              <w:rPr>
                <w:rFonts w:hint="eastAsia" w:asciiTheme="minorHAnsi" w:hAnsiTheme="minorHAnsi" w:eastAsiaTheme="minorEastAsia" w:cstheme="minorBidi"/>
                <w:color w:val="auto"/>
                <w:kern w:val="0"/>
                <w:sz w:val="24"/>
                <w:szCs w:val="24"/>
                <w:highlight w:val="none"/>
                <w:lang w:val="en-US" w:eastAsia="zh-CN" w:bidi="ar-SA"/>
              </w:rPr>
              <w:t>的得</w:t>
            </w:r>
            <w:r>
              <w:rPr>
                <w:rFonts w:hint="eastAsia" w:cstheme="minorBidi"/>
                <w:color w:val="auto"/>
                <w:kern w:val="0"/>
                <w:sz w:val="24"/>
                <w:szCs w:val="24"/>
                <w:highlight w:val="none"/>
                <w:lang w:val="en-US" w:eastAsia="zh-CN" w:bidi="ar-SA"/>
              </w:rPr>
              <w:t>2</w:t>
            </w:r>
            <w:r>
              <w:rPr>
                <w:rFonts w:hint="eastAsia" w:asciiTheme="minorHAnsi" w:hAnsiTheme="minorHAnsi" w:eastAsiaTheme="minorEastAsia" w:cstheme="minorBidi"/>
                <w:color w:val="auto"/>
                <w:kern w:val="0"/>
                <w:sz w:val="24"/>
                <w:szCs w:val="24"/>
                <w:highlight w:val="none"/>
                <w:lang w:val="en-US" w:eastAsia="zh-CN" w:bidi="ar-SA"/>
              </w:rPr>
              <w:t>分，</w:t>
            </w:r>
            <w:r>
              <w:rPr>
                <w:rFonts w:hint="eastAsia" w:cstheme="minorBidi"/>
                <w:color w:val="auto"/>
                <w:kern w:val="0"/>
                <w:sz w:val="24"/>
                <w:szCs w:val="24"/>
                <w:highlight w:val="none"/>
                <w:lang w:val="en-US" w:eastAsia="zh-CN" w:bidi="ar-SA"/>
              </w:rPr>
              <w:t>每加1辆加1分，满分3分</w:t>
            </w:r>
            <w:r>
              <w:rPr>
                <w:rFonts w:hint="eastAsia" w:asciiTheme="minorHAnsi" w:hAnsiTheme="minorHAnsi" w:eastAsiaTheme="minorEastAsia" w:cstheme="minorBidi"/>
                <w:color w:val="auto"/>
                <w:kern w:val="0"/>
                <w:sz w:val="24"/>
                <w:szCs w:val="24"/>
                <w:highlight w:val="none"/>
                <w:lang w:val="en-US" w:eastAsia="zh-CN" w:bidi="ar-SA"/>
              </w:rPr>
              <w:t>【须提供机动车销售统一发票复印件，车辆登记证复印件，合格证自有或租赁车辆行驶证，交管平台公司机动车辆正常的机动车状态和在检验有效期内的车辆截图证明。以上材料均须加盖投标人公章，未按要求提供不得分】。</w:t>
            </w:r>
          </w:p>
        </w:tc>
      </w:tr>
      <w:tr w14:paraId="01543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28A7E56E">
            <w:pPr>
              <w:pStyle w:val="8"/>
              <w:spacing w:line="440" w:lineRule="exact"/>
              <w:jc w:val="center"/>
              <w:rPr>
                <w:rFonts w:hint="default"/>
                <w:color w:val="auto"/>
                <w:sz w:val="24"/>
                <w:szCs w:val="24"/>
                <w:highlight w:val="none"/>
              </w:rPr>
            </w:pPr>
            <w:r>
              <w:rPr>
                <w:rFonts w:hint="eastAsia"/>
                <w:color w:val="auto"/>
                <w:sz w:val="24"/>
                <w:szCs w:val="24"/>
                <w:highlight w:val="none"/>
                <w:lang w:val="en-US" w:eastAsia="zh-CN"/>
              </w:rPr>
              <w:t>3</w:t>
            </w:r>
            <w:r>
              <w:rPr>
                <w:color w:val="auto"/>
                <w:sz w:val="24"/>
                <w:szCs w:val="24"/>
                <w:highlight w:val="none"/>
                <w:lang w:eastAsia="zh-CN"/>
              </w:rPr>
              <w:t>.</w:t>
            </w:r>
            <w:r>
              <w:rPr>
                <w:color w:val="auto"/>
                <w:sz w:val="24"/>
                <w:szCs w:val="24"/>
                <w:highlight w:val="none"/>
              </w:rPr>
              <w:t>项目服务人员</w:t>
            </w:r>
          </w:p>
        </w:tc>
        <w:tc>
          <w:tcPr>
            <w:tcW w:w="994" w:type="dxa"/>
            <w:vAlign w:val="center"/>
          </w:tcPr>
          <w:p w14:paraId="534D546E">
            <w:pPr>
              <w:pStyle w:val="8"/>
              <w:spacing w:line="440" w:lineRule="exact"/>
              <w:jc w:val="center"/>
              <w:rPr>
                <w:rFonts w:hint="default"/>
                <w:color w:val="auto"/>
                <w:sz w:val="24"/>
                <w:szCs w:val="24"/>
                <w:highlight w:val="none"/>
                <w:lang w:eastAsia="zh-CN"/>
              </w:rPr>
            </w:pPr>
            <w:r>
              <w:rPr>
                <w:rFonts w:hint="eastAsia"/>
                <w:color w:val="auto"/>
                <w:sz w:val="24"/>
                <w:szCs w:val="24"/>
                <w:highlight w:val="none"/>
                <w:lang w:val="en-US" w:eastAsia="zh-CN"/>
              </w:rPr>
              <w:t>1</w:t>
            </w:r>
            <w:r>
              <w:rPr>
                <w:color w:val="auto"/>
                <w:sz w:val="24"/>
                <w:szCs w:val="24"/>
                <w:highlight w:val="none"/>
                <w:lang w:eastAsia="zh-CN"/>
              </w:rPr>
              <w:t>.00</w:t>
            </w:r>
          </w:p>
        </w:tc>
        <w:tc>
          <w:tcPr>
            <w:tcW w:w="1686" w:type="dxa"/>
            <w:vAlign w:val="center"/>
          </w:tcPr>
          <w:p w14:paraId="2FD6DEB1">
            <w:pPr>
              <w:pStyle w:val="8"/>
              <w:spacing w:line="440" w:lineRule="exact"/>
              <w:jc w:val="center"/>
              <w:rPr>
                <w:rFonts w:hint="default" w:asciiTheme="minorHAnsi" w:hAnsiTheme="minorHAnsi" w:eastAsiaTheme="minorEastAsia" w:cstheme="minorBidi"/>
                <w:color w:val="auto"/>
                <w:kern w:val="0"/>
                <w:sz w:val="24"/>
                <w:szCs w:val="24"/>
                <w:highlight w:val="none"/>
                <w:lang w:val="en-US" w:eastAsia="zh-CN" w:bidi="ar-SA"/>
              </w:rPr>
            </w:pPr>
            <w:r>
              <w:rPr>
                <w:rFonts w:hint="eastAsia" w:asciiTheme="minorHAnsi" w:hAnsiTheme="minorHAnsi" w:eastAsiaTheme="minorEastAsia" w:cstheme="minorBidi"/>
                <w:color w:val="auto"/>
                <w:kern w:val="0"/>
                <w:sz w:val="24"/>
                <w:szCs w:val="24"/>
                <w:highlight w:val="none"/>
                <w:lang w:val="en-US" w:eastAsia="zh-CN" w:bidi="ar-SA"/>
              </w:rPr>
              <w:t>是</w:t>
            </w:r>
          </w:p>
        </w:tc>
        <w:tc>
          <w:tcPr>
            <w:tcW w:w="5703" w:type="dxa"/>
            <w:vAlign w:val="center"/>
          </w:tcPr>
          <w:p w14:paraId="4D4E750A">
            <w:pPr>
              <w:spacing w:line="440" w:lineRule="exact"/>
              <w:jc w:val="both"/>
              <w:textAlignment w:val="center"/>
              <w:rPr>
                <w:rFonts w:hint="default" w:asciiTheme="minorHAnsi" w:hAnsiTheme="minorHAnsi" w:eastAsiaTheme="minorEastAsia" w:cstheme="minorBidi"/>
                <w:color w:val="auto"/>
                <w:kern w:val="0"/>
                <w:sz w:val="24"/>
                <w:szCs w:val="24"/>
                <w:highlight w:val="none"/>
                <w:lang w:val="en-US" w:eastAsia="zh-CN" w:bidi="ar-SA"/>
              </w:rPr>
            </w:pPr>
            <w:r>
              <w:rPr>
                <w:rFonts w:hint="eastAsia" w:asciiTheme="minorHAnsi" w:hAnsiTheme="minorHAnsi" w:eastAsiaTheme="minorEastAsia" w:cstheme="minorBidi"/>
                <w:color w:val="auto"/>
                <w:kern w:val="0"/>
                <w:sz w:val="24"/>
                <w:szCs w:val="24"/>
                <w:highlight w:val="none"/>
                <w:lang w:val="en-US" w:eastAsia="zh-CN" w:bidi="ar-SA"/>
              </w:rPr>
              <w:t xml:space="preserve">投标人配备高级食品安全管理员或食品检验员证书的得1分；具有食品检验员技能培训资格证书的0.5分，须提供证书复印件、任期内食品安全专业人员在投标截止时间前六个月（不含投标截止时间的当月）中任意一个月社保或工资流水的证明材料复印件。以上复印件均须加盖投标人公章，未按要求提供不得分】 </w:t>
            </w:r>
            <w:r>
              <w:rPr>
                <w:rFonts w:hint="eastAsia" w:cstheme="minorBidi"/>
                <w:color w:val="auto"/>
                <w:kern w:val="0"/>
                <w:sz w:val="24"/>
                <w:szCs w:val="24"/>
                <w:highlight w:val="none"/>
                <w:lang w:val="en-US" w:eastAsia="zh-CN" w:bidi="ar-SA"/>
              </w:rPr>
              <w:t>。</w:t>
            </w:r>
          </w:p>
        </w:tc>
      </w:tr>
      <w:tr w14:paraId="57046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shd w:val="clear" w:color="auto" w:fill="auto"/>
            <w:vAlign w:val="center"/>
          </w:tcPr>
          <w:p w14:paraId="7896ABA6">
            <w:pPr>
              <w:pStyle w:val="8"/>
              <w:spacing w:line="440" w:lineRule="exact"/>
              <w:jc w:val="center"/>
              <w:rPr>
                <w:rFonts w:hint="default" w:asciiTheme="minorHAnsi" w:hAnsiTheme="minorHAnsi" w:eastAsiaTheme="minorEastAsia" w:cstheme="minorBidi"/>
                <w:color w:val="auto"/>
                <w:sz w:val="24"/>
                <w:szCs w:val="24"/>
                <w:highlight w:val="none"/>
                <w:lang w:val="en-US" w:eastAsia="zh-CN"/>
              </w:rPr>
            </w:pPr>
            <w:r>
              <w:rPr>
                <w:rFonts w:hint="eastAsia"/>
                <w:color w:val="auto"/>
                <w:sz w:val="24"/>
                <w:szCs w:val="24"/>
                <w:highlight w:val="none"/>
                <w:lang w:val="en-US" w:eastAsia="zh-CN"/>
              </w:rPr>
              <w:t>4.</w:t>
            </w:r>
            <w:r>
              <w:rPr>
                <w:color w:val="auto"/>
                <w:sz w:val="24"/>
                <w:szCs w:val="24"/>
                <w:highlight w:val="none"/>
              </w:rPr>
              <w:t>食品安全检测设备</w:t>
            </w:r>
          </w:p>
        </w:tc>
        <w:tc>
          <w:tcPr>
            <w:tcW w:w="994" w:type="dxa"/>
            <w:shd w:val="clear" w:color="auto" w:fill="auto"/>
            <w:vAlign w:val="center"/>
          </w:tcPr>
          <w:p w14:paraId="6F9B7DF3">
            <w:pPr>
              <w:pStyle w:val="8"/>
              <w:spacing w:line="440" w:lineRule="exact"/>
              <w:jc w:val="center"/>
              <w:rPr>
                <w:rFonts w:hint="default" w:asciiTheme="minorHAnsi" w:hAnsiTheme="minorHAnsi" w:eastAsiaTheme="minorEastAsia" w:cstheme="minorBidi"/>
                <w:color w:val="auto"/>
                <w:sz w:val="24"/>
                <w:szCs w:val="24"/>
                <w:highlight w:val="none"/>
                <w:lang w:val="en-US" w:eastAsia="zh-CN"/>
              </w:rPr>
            </w:pPr>
            <w:r>
              <w:rPr>
                <w:rFonts w:hint="eastAsia"/>
                <w:color w:val="auto"/>
                <w:sz w:val="24"/>
                <w:szCs w:val="24"/>
                <w:highlight w:val="none"/>
                <w:lang w:val="en-US" w:eastAsia="zh-CN"/>
              </w:rPr>
              <w:t>4</w:t>
            </w:r>
            <w:r>
              <w:rPr>
                <w:color w:val="auto"/>
                <w:sz w:val="24"/>
                <w:szCs w:val="24"/>
                <w:highlight w:val="none"/>
              </w:rPr>
              <w:t>.00</w:t>
            </w:r>
          </w:p>
        </w:tc>
        <w:tc>
          <w:tcPr>
            <w:tcW w:w="1686" w:type="dxa"/>
            <w:shd w:val="clear" w:color="auto" w:fill="auto"/>
            <w:vAlign w:val="center"/>
          </w:tcPr>
          <w:p w14:paraId="1E789284">
            <w:pPr>
              <w:pStyle w:val="8"/>
              <w:spacing w:line="440" w:lineRule="exact"/>
              <w:jc w:val="center"/>
              <w:rPr>
                <w:rFonts w:hint="default" w:asciiTheme="minorHAnsi" w:hAnsiTheme="minorHAnsi" w:eastAsiaTheme="minorEastAsia" w:cstheme="minorBidi"/>
                <w:color w:val="auto"/>
                <w:sz w:val="24"/>
                <w:szCs w:val="24"/>
                <w:highlight w:val="none"/>
                <w:lang w:val="en-US" w:eastAsia="zh-CN"/>
              </w:rPr>
            </w:pPr>
            <w:r>
              <w:rPr>
                <w:rFonts w:hint="eastAsia" w:cstheme="minorBidi"/>
                <w:color w:val="auto"/>
                <w:sz w:val="24"/>
                <w:szCs w:val="24"/>
                <w:highlight w:val="none"/>
                <w:lang w:val="en-US" w:eastAsia="zh-CN"/>
              </w:rPr>
              <w:t>是</w:t>
            </w:r>
          </w:p>
        </w:tc>
        <w:tc>
          <w:tcPr>
            <w:tcW w:w="5703" w:type="dxa"/>
            <w:shd w:val="clear" w:color="auto" w:fill="auto"/>
            <w:vAlign w:val="center"/>
          </w:tcPr>
          <w:p w14:paraId="336CF116">
            <w:pPr>
              <w:pStyle w:val="8"/>
              <w:spacing w:line="440" w:lineRule="exact"/>
              <w:jc w:val="both"/>
              <w:rPr>
                <w:rFonts w:hint="eastAsia" w:asciiTheme="minorHAnsi" w:hAnsiTheme="minorHAnsi" w:eastAsiaTheme="minorEastAsia" w:cstheme="minorBidi"/>
                <w:color w:val="auto"/>
                <w:sz w:val="24"/>
                <w:szCs w:val="24"/>
                <w:highlight w:val="none"/>
                <w:lang w:val="en-US" w:eastAsia="zh-CN"/>
              </w:rPr>
            </w:pPr>
            <w:r>
              <w:rPr>
                <w:rFonts w:hint="eastAsia"/>
                <w:color w:val="auto"/>
                <w:sz w:val="24"/>
                <w:szCs w:val="24"/>
                <w:highlight w:val="none"/>
                <w:lang w:eastAsia="zh-CN"/>
              </w:rPr>
              <w:t>投标人</w:t>
            </w:r>
            <w:r>
              <w:rPr>
                <w:color w:val="auto"/>
                <w:sz w:val="24"/>
                <w:szCs w:val="24"/>
                <w:highlight w:val="none"/>
              </w:rPr>
              <w:t>配备保障食品安全检测仪器（至少具备农药残留检测</w:t>
            </w:r>
            <w:r>
              <w:rPr>
                <w:rFonts w:hint="eastAsia"/>
                <w:color w:val="auto"/>
                <w:sz w:val="24"/>
                <w:szCs w:val="24"/>
                <w:highlight w:val="none"/>
                <w:lang w:val="en-US" w:eastAsia="zh-CN"/>
              </w:rPr>
              <w:t>功能</w:t>
            </w:r>
            <w:r>
              <w:rPr>
                <w:color w:val="auto"/>
                <w:sz w:val="24"/>
                <w:szCs w:val="24"/>
                <w:highlight w:val="none"/>
              </w:rPr>
              <w:t>、</w:t>
            </w:r>
            <w:r>
              <w:rPr>
                <w:rFonts w:hint="eastAsia"/>
                <w:color w:val="auto"/>
                <w:sz w:val="24"/>
                <w:szCs w:val="24"/>
                <w:highlight w:val="none"/>
                <w:lang w:val="en-US" w:eastAsia="zh-CN"/>
              </w:rPr>
              <w:t>瘦肉精检测功能、水产品药物检测功能、</w:t>
            </w:r>
            <w:r>
              <w:rPr>
                <w:color w:val="auto"/>
                <w:sz w:val="24"/>
                <w:szCs w:val="24"/>
                <w:highlight w:val="none"/>
              </w:rPr>
              <w:t>重金属检测功能)的，每</w:t>
            </w:r>
            <w:r>
              <w:rPr>
                <w:rFonts w:hint="eastAsia"/>
                <w:color w:val="auto"/>
                <w:sz w:val="24"/>
                <w:szCs w:val="24"/>
                <w:highlight w:val="none"/>
                <w:lang w:val="en-US" w:eastAsia="zh-CN"/>
              </w:rPr>
              <w:t>满足1项功能的</w:t>
            </w:r>
            <w:r>
              <w:rPr>
                <w:color w:val="auto"/>
                <w:sz w:val="24"/>
                <w:szCs w:val="24"/>
                <w:highlight w:val="none"/>
              </w:rPr>
              <w:t>得1分，满分</w:t>
            </w:r>
            <w:r>
              <w:rPr>
                <w:rFonts w:hint="eastAsia"/>
                <w:color w:val="auto"/>
                <w:sz w:val="24"/>
                <w:szCs w:val="24"/>
                <w:highlight w:val="none"/>
                <w:lang w:val="en-US" w:eastAsia="zh-CN"/>
              </w:rPr>
              <w:t>4</w:t>
            </w:r>
            <w:r>
              <w:rPr>
                <w:color w:val="auto"/>
                <w:sz w:val="24"/>
                <w:szCs w:val="24"/>
                <w:highlight w:val="none"/>
              </w:rPr>
              <w:t>分。【</w:t>
            </w:r>
            <w:r>
              <w:rPr>
                <w:rFonts w:hint="eastAsia"/>
                <w:color w:val="auto"/>
                <w:sz w:val="24"/>
                <w:szCs w:val="24"/>
                <w:highlight w:val="none"/>
                <w:lang w:eastAsia="zh-CN"/>
              </w:rPr>
              <w:t>投标人</w:t>
            </w:r>
            <w:r>
              <w:rPr>
                <w:color w:val="auto"/>
                <w:sz w:val="24"/>
                <w:szCs w:val="24"/>
                <w:highlight w:val="none"/>
              </w:rPr>
              <w:t>须提供检测仪器图片、</w:t>
            </w:r>
            <w:r>
              <w:rPr>
                <w:rFonts w:hint="eastAsia"/>
                <w:color w:val="auto"/>
                <w:sz w:val="24"/>
                <w:szCs w:val="24"/>
                <w:highlight w:val="none"/>
                <w:lang w:val="en-US" w:eastAsia="zh-CN"/>
              </w:rPr>
              <w:t>检测功能截图、</w:t>
            </w:r>
            <w:r>
              <w:rPr>
                <w:color w:val="auto"/>
                <w:sz w:val="24"/>
                <w:szCs w:val="24"/>
                <w:highlight w:val="none"/>
              </w:rPr>
              <w:t>购买发票复印件(发票购买方须为</w:t>
            </w:r>
            <w:r>
              <w:rPr>
                <w:rFonts w:hint="eastAsia"/>
                <w:color w:val="auto"/>
                <w:sz w:val="24"/>
                <w:szCs w:val="24"/>
                <w:highlight w:val="none"/>
                <w:lang w:eastAsia="zh-CN"/>
              </w:rPr>
              <w:t>投标人</w:t>
            </w:r>
            <w:r>
              <w:rPr>
                <w:color w:val="auto"/>
                <w:sz w:val="24"/>
                <w:szCs w:val="24"/>
                <w:highlight w:val="none"/>
              </w:rPr>
              <w:t>)。未提供或提供不全的不得分。】</w:t>
            </w:r>
          </w:p>
        </w:tc>
      </w:tr>
      <w:tr w14:paraId="768B7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shd w:val="clear" w:color="auto" w:fill="auto"/>
            <w:vAlign w:val="center"/>
          </w:tcPr>
          <w:p w14:paraId="06224805">
            <w:pPr>
              <w:keepNext w:val="0"/>
              <w:keepLines w:val="0"/>
              <w:pageBreakBefore w:val="0"/>
              <w:widowControl w:val="0"/>
              <w:kinsoku/>
              <w:wordWrap/>
              <w:overflowPunct/>
              <w:topLinePunct w:val="0"/>
              <w:autoSpaceDE/>
              <w:autoSpaceDN/>
              <w:bidi w:val="0"/>
              <w:adjustRightInd/>
              <w:snapToGrid/>
              <w:spacing w:line="360" w:lineRule="auto"/>
              <w:jc w:val="center"/>
              <w:textAlignment w:val="center"/>
              <w:rPr>
                <w:rFonts w:hint="eastAsia" w:asciiTheme="minorHAnsi" w:hAnsiTheme="minorHAnsi" w:eastAsiaTheme="minorEastAsia" w:cstheme="minorBidi"/>
                <w:color w:val="auto"/>
                <w:kern w:val="0"/>
                <w:sz w:val="24"/>
                <w:szCs w:val="24"/>
                <w:highlight w:val="none"/>
                <w:lang w:val="en-US" w:eastAsia="zh-CN"/>
              </w:rPr>
            </w:pPr>
            <w:r>
              <w:rPr>
                <w:rFonts w:hint="eastAsia" w:asciiTheme="minorHAnsi" w:hAnsiTheme="minorHAnsi" w:eastAsiaTheme="minorEastAsia" w:cstheme="minorBidi"/>
                <w:color w:val="auto"/>
                <w:kern w:val="0"/>
                <w:sz w:val="24"/>
                <w:szCs w:val="24"/>
                <w:highlight w:val="none"/>
                <w:lang w:val="en-US" w:eastAsia="zh-CN"/>
              </w:rPr>
              <w:t>5.货源保障</w:t>
            </w:r>
          </w:p>
        </w:tc>
        <w:tc>
          <w:tcPr>
            <w:tcW w:w="994" w:type="dxa"/>
            <w:shd w:val="clear" w:color="auto" w:fill="auto"/>
            <w:vAlign w:val="center"/>
          </w:tcPr>
          <w:p w14:paraId="579ED410">
            <w:pPr>
              <w:keepNext w:val="0"/>
              <w:keepLines w:val="0"/>
              <w:pageBreakBefore w:val="0"/>
              <w:widowControl w:val="0"/>
              <w:kinsoku/>
              <w:wordWrap/>
              <w:overflowPunct/>
              <w:topLinePunct w:val="0"/>
              <w:autoSpaceDE/>
              <w:autoSpaceDN/>
              <w:bidi w:val="0"/>
              <w:adjustRightInd/>
              <w:snapToGrid/>
              <w:spacing w:line="360" w:lineRule="auto"/>
              <w:jc w:val="center"/>
              <w:textAlignment w:val="center"/>
              <w:rPr>
                <w:rFonts w:hint="eastAsia" w:asciiTheme="minorHAnsi" w:hAnsiTheme="minorHAnsi" w:eastAsiaTheme="minorEastAsia" w:cstheme="minorBidi"/>
                <w:color w:val="auto"/>
                <w:kern w:val="0"/>
                <w:sz w:val="24"/>
                <w:szCs w:val="24"/>
                <w:highlight w:val="none"/>
                <w:lang w:val="en-US" w:eastAsia="zh-CN"/>
              </w:rPr>
            </w:pPr>
            <w:r>
              <w:rPr>
                <w:rFonts w:hint="eastAsia" w:asciiTheme="minorHAnsi" w:hAnsiTheme="minorHAnsi" w:eastAsiaTheme="minorEastAsia" w:cstheme="minorBidi"/>
                <w:color w:val="auto"/>
                <w:kern w:val="0"/>
                <w:sz w:val="24"/>
                <w:szCs w:val="24"/>
                <w:highlight w:val="none"/>
                <w:lang w:val="en-US" w:eastAsia="zh-CN"/>
              </w:rPr>
              <w:t>3.00</w:t>
            </w:r>
          </w:p>
        </w:tc>
        <w:tc>
          <w:tcPr>
            <w:tcW w:w="1686" w:type="dxa"/>
            <w:shd w:val="clear" w:color="auto" w:fill="auto"/>
            <w:vAlign w:val="center"/>
          </w:tcPr>
          <w:p w14:paraId="0E95B5EF">
            <w:pPr>
              <w:keepNext w:val="0"/>
              <w:keepLines w:val="0"/>
              <w:pageBreakBefore w:val="0"/>
              <w:widowControl w:val="0"/>
              <w:kinsoku/>
              <w:wordWrap/>
              <w:overflowPunct/>
              <w:topLinePunct w:val="0"/>
              <w:autoSpaceDE/>
              <w:autoSpaceDN/>
              <w:bidi w:val="0"/>
              <w:adjustRightInd/>
              <w:snapToGrid/>
              <w:spacing w:line="360" w:lineRule="auto"/>
              <w:textAlignment w:val="center"/>
              <w:rPr>
                <w:rFonts w:hint="default" w:asciiTheme="minorHAnsi" w:hAnsiTheme="minorHAnsi" w:eastAsiaTheme="minorEastAsia" w:cstheme="minorBidi"/>
                <w:color w:val="auto"/>
                <w:kern w:val="0"/>
                <w:sz w:val="24"/>
                <w:szCs w:val="24"/>
                <w:highlight w:val="none"/>
                <w:lang w:val="en-US" w:eastAsia="zh-CN"/>
              </w:rPr>
            </w:pPr>
            <w:r>
              <w:rPr>
                <w:rFonts w:hint="eastAsia" w:asciiTheme="minorHAnsi" w:hAnsiTheme="minorHAnsi" w:eastAsiaTheme="minorEastAsia" w:cstheme="minorBidi"/>
                <w:color w:val="auto"/>
                <w:kern w:val="0"/>
                <w:sz w:val="24"/>
                <w:szCs w:val="24"/>
                <w:highlight w:val="none"/>
                <w:lang w:val="en-US" w:eastAsia="zh-CN"/>
              </w:rPr>
              <w:t>是</w:t>
            </w:r>
          </w:p>
        </w:tc>
        <w:tc>
          <w:tcPr>
            <w:tcW w:w="5703" w:type="dxa"/>
            <w:shd w:val="clear" w:color="auto" w:fill="auto"/>
            <w:vAlign w:val="center"/>
          </w:tcPr>
          <w:p w14:paraId="353A528D">
            <w:pPr>
              <w:keepNext w:val="0"/>
              <w:keepLines w:val="0"/>
              <w:pageBreakBefore w:val="0"/>
              <w:widowControl w:val="0"/>
              <w:kinsoku/>
              <w:wordWrap/>
              <w:overflowPunct/>
              <w:topLinePunct w:val="0"/>
              <w:autoSpaceDE/>
              <w:autoSpaceDN/>
              <w:bidi w:val="0"/>
              <w:adjustRightInd/>
              <w:snapToGrid/>
              <w:spacing w:line="360" w:lineRule="auto"/>
              <w:jc w:val="center"/>
              <w:textAlignment w:val="center"/>
              <w:rPr>
                <w:rFonts w:hint="eastAsia" w:asciiTheme="minorHAnsi" w:hAnsiTheme="minorHAnsi" w:eastAsiaTheme="minorEastAsia" w:cstheme="minorBidi"/>
                <w:color w:val="auto"/>
                <w:kern w:val="0"/>
                <w:sz w:val="24"/>
                <w:szCs w:val="24"/>
                <w:highlight w:val="none"/>
                <w:lang w:val="en-US" w:eastAsia="zh-CN"/>
              </w:rPr>
            </w:pPr>
            <w:r>
              <w:rPr>
                <w:rFonts w:hint="eastAsia" w:asciiTheme="minorHAnsi" w:hAnsiTheme="minorHAnsi" w:eastAsiaTheme="minorEastAsia" w:cstheme="minorBidi"/>
                <w:color w:val="auto"/>
                <w:kern w:val="0"/>
                <w:sz w:val="24"/>
                <w:szCs w:val="24"/>
                <w:highlight w:val="none"/>
                <w:lang w:val="en-US" w:eastAsia="zh-CN"/>
              </w:rPr>
              <w:t>投标人具有正规进货渠道，有长期稳定的食材供应商，每提供肉类、蔬菜类和水产的3个合作证明的得1分，满分3分（须提供供应商的营业执照和食品经营许可证或食品生产许可证复印件，与供应商的合作协议复印件、供应商开具给投标人的税务发票及投标人转账给供应商的公对公转账记录凭证复印件，以上复印件均须加盖投标人公章，未按要求提供不得分）。</w:t>
            </w:r>
          </w:p>
        </w:tc>
      </w:tr>
      <w:tr w14:paraId="79192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1FC987C1">
            <w:pPr>
              <w:pStyle w:val="8"/>
              <w:spacing w:line="440" w:lineRule="exact"/>
              <w:jc w:val="center"/>
              <w:rPr>
                <w:rFonts w:hint="default"/>
                <w:color w:val="auto"/>
                <w:sz w:val="24"/>
                <w:szCs w:val="24"/>
                <w:highlight w:val="none"/>
              </w:rPr>
            </w:pPr>
            <w:r>
              <w:rPr>
                <w:rFonts w:hint="eastAsia"/>
                <w:color w:val="auto"/>
                <w:sz w:val="24"/>
                <w:szCs w:val="24"/>
                <w:highlight w:val="none"/>
                <w:lang w:val="en-US" w:eastAsia="zh-CN"/>
              </w:rPr>
              <w:t>6</w:t>
            </w:r>
            <w:r>
              <w:rPr>
                <w:color w:val="auto"/>
                <w:sz w:val="24"/>
                <w:szCs w:val="24"/>
                <w:highlight w:val="none"/>
              </w:rPr>
              <w:t>.卫生、品质保障承诺及措施</w:t>
            </w:r>
          </w:p>
        </w:tc>
        <w:tc>
          <w:tcPr>
            <w:tcW w:w="994" w:type="dxa"/>
            <w:vAlign w:val="center"/>
          </w:tcPr>
          <w:p w14:paraId="47ACF042">
            <w:pPr>
              <w:pStyle w:val="8"/>
              <w:spacing w:line="440" w:lineRule="exact"/>
              <w:jc w:val="center"/>
              <w:rPr>
                <w:rFonts w:hint="default"/>
                <w:color w:val="auto"/>
                <w:sz w:val="24"/>
                <w:szCs w:val="24"/>
                <w:highlight w:val="none"/>
                <w:lang w:eastAsia="zh-CN"/>
              </w:rPr>
            </w:pPr>
            <w:r>
              <w:rPr>
                <w:color w:val="auto"/>
                <w:sz w:val="24"/>
                <w:szCs w:val="24"/>
                <w:highlight w:val="none"/>
                <w:lang w:eastAsia="zh-CN"/>
              </w:rPr>
              <w:t>3.00</w:t>
            </w:r>
          </w:p>
        </w:tc>
        <w:tc>
          <w:tcPr>
            <w:tcW w:w="1686" w:type="dxa"/>
            <w:vAlign w:val="center"/>
          </w:tcPr>
          <w:p w14:paraId="3CCFC8FF">
            <w:pPr>
              <w:pStyle w:val="8"/>
              <w:spacing w:line="440" w:lineRule="exact"/>
              <w:jc w:val="center"/>
              <w:rPr>
                <w:rFonts w:hint="default"/>
                <w:color w:val="auto"/>
                <w:sz w:val="24"/>
                <w:szCs w:val="24"/>
                <w:highlight w:val="none"/>
                <w:lang w:val="en-US" w:eastAsia="zh-CN"/>
              </w:rPr>
            </w:pPr>
            <w:r>
              <w:rPr>
                <w:rFonts w:hint="eastAsia"/>
                <w:color w:val="auto"/>
                <w:sz w:val="24"/>
                <w:szCs w:val="24"/>
                <w:highlight w:val="none"/>
                <w:lang w:val="en-US" w:eastAsia="zh-CN"/>
              </w:rPr>
              <w:t>否</w:t>
            </w:r>
          </w:p>
        </w:tc>
        <w:tc>
          <w:tcPr>
            <w:tcW w:w="5703" w:type="dxa"/>
            <w:vAlign w:val="center"/>
          </w:tcPr>
          <w:p w14:paraId="5B630585">
            <w:pPr>
              <w:pStyle w:val="8"/>
              <w:spacing w:line="440" w:lineRule="exact"/>
              <w:jc w:val="both"/>
              <w:rPr>
                <w:rFonts w:hint="default"/>
                <w:color w:val="auto"/>
                <w:sz w:val="24"/>
                <w:szCs w:val="24"/>
                <w:highlight w:val="none"/>
                <w:lang w:eastAsia="zh-CN"/>
              </w:rPr>
            </w:pPr>
            <w:r>
              <w:rPr>
                <w:color w:val="auto"/>
                <w:sz w:val="24"/>
                <w:szCs w:val="24"/>
                <w:highlight w:val="none"/>
              </w:rPr>
              <w:t>根据</w:t>
            </w:r>
            <w:r>
              <w:rPr>
                <w:rFonts w:hint="eastAsia"/>
                <w:color w:val="auto"/>
                <w:sz w:val="24"/>
                <w:szCs w:val="24"/>
                <w:highlight w:val="none"/>
                <w:lang w:eastAsia="zh-CN"/>
              </w:rPr>
              <w:t>投标人</w:t>
            </w:r>
            <w:r>
              <w:rPr>
                <w:color w:val="auto"/>
                <w:sz w:val="24"/>
                <w:szCs w:val="24"/>
                <w:highlight w:val="none"/>
              </w:rPr>
              <w:t>提供卫生、品质保障承诺及措施方案，方案中应包括但不限于食品来源、存储、加工、包装、运输、日常检验等，由评审小组进行评分：卫生、品质保障承诺及措施方案完善、全面、操作性强的得3分；卫生、品质保障承诺及措施方案完善、全面、操作性较强的得2</w:t>
            </w:r>
            <w:r>
              <w:rPr>
                <w:color w:val="auto"/>
                <w:sz w:val="24"/>
                <w:szCs w:val="24"/>
                <w:highlight w:val="none"/>
                <w:lang w:eastAsia="zh-CN"/>
              </w:rPr>
              <w:t>.</w:t>
            </w:r>
            <w:r>
              <w:rPr>
                <w:rFonts w:hint="eastAsia"/>
                <w:color w:val="auto"/>
                <w:sz w:val="24"/>
                <w:szCs w:val="24"/>
                <w:highlight w:val="none"/>
                <w:lang w:val="en-US" w:eastAsia="zh-CN"/>
              </w:rPr>
              <w:t>8</w:t>
            </w:r>
            <w:r>
              <w:rPr>
                <w:color w:val="auto"/>
                <w:sz w:val="24"/>
                <w:szCs w:val="24"/>
                <w:highlight w:val="none"/>
              </w:rPr>
              <w:t>；卫生、品质保障承诺及措施方案完善、全面、操作性一般的得</w:t>
            </w:r>
            <w:r>
              <w:rPr>
                <w:color w:val="auto"/>
                <w:sz w:val="24"/>
                <w:szCs w:val="24"/>
                <w:highlight w:val="none"/>
                <w:lang w:eastAsia="zh-CN"/>
              </w:rPr>
              <w:t>2.</w:t>
            </w:r>
            <w:r>
              <w:rPr>
                <w:rFonts w:hint="eastAsia"/>
                <w:color w:val="auto"/>
                <w:sz w:val="24"/>
                <w:szCs w:val="24"/>
                <w:highlight w:val="none"/>
                <w:lang w:val="en-US" w:eastAsia="zh-CN"/>
              </w:rPr>
              <w:t>6</w:t>
            </w:r>
            <w:r>
              <w:rPr>
                <w:color w:val="auto"/>
                <w:sz w:val="24"/>
                <w:szCs w:val="24"/>
                <w:highlight w:val="none"/>
              </w:rPr>
              <w:t>分；未提供不得分。</w:t>
            </w:r>
          </w:p>
        </w:tc>
      </w:tr>
      <w:tr w14:paraId="26141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06305AF1">
            <w:pPr>
              <w:pStyle w:val="8"/>
              <w:spacing w:line="440" w:lineRule="exact"/>
              <w:jc w:val="center"/>
              <w:rPr>
                <w:rFonts w:hint="default"/>
                <w:color w:val="auto"/>
                <w:sz w:val="24"/>
                <w:szCs w:val="24"/>
                <w:highlight w:val="none"/>
              </w:rPr>
            </w:pPr>
            <w:r>
              <w:rPr>
                <w:rFonts w:hint="eastAsia"/>
                <w:color w:val="auto"/>
                <w:sz w:val="24"/>
                <w:szCs w:val="24"/>
                <w:highlight w:val="none"/>
                <w:lang w:val="en-US" w:eastAsia="zh-CN"/>
              </w:rPr>
              <w:t>7</w:t>
            </w:r>
            <w:r>
              <w:rPr>
                <w:color w:val="auto"/>
                <w:sz w:val="24"/>
                <w:szCs w:val="24"/>
                <w:highlight w:val="none"/>
              </w:rPr>
              <w:t>.配送方案</w:t>
            </w:r>
          </w:p>
        </w:tc>
        <w:tc>
          <w:tcPr>
            <w:tcW w:w="994" w:type="dxa"/>
            <w:vAlign w:val="center"/>
          </w:tcPr>
          <w:p w14:paraId="69EF0D86">
            <w:pPr>
              <w:pStyle w:val="8"/>
              <w:spacing w:line="440" w:lineRule="exact"/>
              <w:jc w:val="center"/>
              <w:rPr>
                <w:rFonts w:hint="default"/>
                <w:color w:val="auto"/>
                <w:sz w:val="24"/>
                <w:szCs w:val="24"/>
                <w:highlight w:val="none"/>
              </w:rPr>
            </w:pPr>
            <w:r>
              <w:rPr>
                <w:rFonts w:hint="eastAsia"/>
                <w:color w:val="auto"/>
                <w:sz w:val="24"/>
                <w:szCs w:val="24"/>
                <w:highlight w:val="none"/>
                <w:lang w:val="en-US" w:eastAsia="zh-CN"/>
              </w:rPr>
              <w:t>3</w:t>
            </w:r>
            <w:r>
              <w:rPr>
                <w:color w:val="auto"/>
                <w:sz w:val="24"/>
                <w:szCs w:val="24"/>
                <w:highlight w:val="none"/>
              </w:rPr>
              <w:t>.00</w:t>
            </w:r>
          </w:p>
        </w:tc>
        <w:tc>
          <w:tcPr>
            <w:tcW w:w="1686" w:type="dxa"/>
            <w:vAlign w:val="center"/>
          </w:tcPr>
          <w:p w14:paraId="7907DE71">
            <w:pPr>
              <w:pStyle w:val="8"/>
              <w:spacing w:line="440" w:lineRule="exact"/>
              <w:jc w:val="center"/>
              <w:rPr>
                <w:rFonts w:hint="default"/>
                <w:color w:val="auto"/>
                <w:sz w:val="24"/>
                <w:szCs w:val="24"/>
                <w:highlight w:val="none"/>
                <w:lang w:val="en-US" w:eastAsia="zh-CN"/>
              </w:rPr>
            </w:pPr>
            <w:r>
              <w:rPr>
                <w:rFonts w:hint="eastAsia"/>
                <w:color w:val="auto"/>
                <w:sz w:val="24"/>
                <w:szCs w:val="24"/>
                <w:highlight w:val="none"/>
                <w:lang w:val="en-US" w:eastAsia="zh-CN"/>
              </w:rPr>
              <w:t>否</w:t>
            </w:r>
          </w:p>
        </w:tc>
        <w:tc>
          <w:tcPr>
            <w:tcW w:w="5703" w:type="dxa"/>
            <w:vAlign w:val="center"/>
          </w:tcPr>
          <w:p w14:paraId="2B430CD6">
            <w:pPr>
              <w:pStyle w:val="8"/>
              <w:spacing w:line="440" w:lineRule="exact"/>
              <w:jc w:val="both"/>
              <w:rPr>
                <w:rFonts w:hint="default"/>
                <w:color w:val="auto"/>
                <w:sz w:val="24"/>
                <w:szCs w:val="24"/>
                <w:highlight w:val="none"/>
              </w:rPr>
            </w:pPr>
            <w:r>
              <w:rPr>
                <w:color w:val="auto"/>
                <w:sz w:val="24"/>
                <w:szCs w:val="24"/>
                <w:highlight w:val="none"/>
              </w:rPr>
              <w:t>根据</w:t>
            </w:r>
            <w:r>
              <w:rPr>
                <w:rFonts w:hint="eastAsia"/>
                <w:color w:val="auto"/>
                <w:sz w:val="24"/>
                <w:szCs w:val="24"/>
                <w:highlight w:val="none"/>
                <w:lang w:eastAsia="zh-CN"/>
              </w:rPr>
              <w:t>投标人</w:t>
            </w:r>
            <w:r>
              <w:rPr>
                <w:color w:val="auto"/>
                <w:sz w:val="24"/>
                <w:szCs w:val="24"/>
                <w:highlight w:val="none"/>
              </w:rPr>
              <w:t>针对本项目提供的副食品配送方案，方案中应包括但不限于包含配送流程、配送管理制度、配送人员安排、重大节假日和重大会议期间的</w:t>
            </w:r>
            <w:r>
              <w:rPr>
                <w:rFonts w:hint="eastAsia"/>
                <w:color w:val="auto"/>
                <w:sz w:val="24"/>
                <w:szCs w:val="24"/>
                <w:highlight w:val="none"/>
                <w:lang w:val="en-US" w:eastAsia="zh-CN"/>
              </w:rPr>
              <w:t>临时配送</w:t>
            </w:r>
            <w:r>
              <w:rPr>
                <w:color w:val="auto"/>
                <w:sz w:val="24"/>
                <w:szCs w:val="24"/>
                <w:highlight w:val="none"/>
              </w:rPr>
              <w:t>、突发性紧急配送等，由</w:t>
            </w:r>
            <w:r>
              <w:rPr>
                <w:color w:val="auto"/>
                <w:sz w:val="24"/>
                <w:szCs w:val="24"/>
                <w:highlight w:val="none"/>
                <w:lang w:eastAsia="zh-CN"/>
              </w:rPr>
              <w:t>评</w:t>
            </w:r>
            <w:r>
              <w:rPr>
                <w:color w:val="auto"/>
                <w:sz w:val="24"/>
                <w:szCs w:val="24"/>
                <w:highlight w:val="none"/>
              </w:rPr>
              <w:t>审小组进行评分：方案完整、详细、具体、可行性强的，得</w:t>
            </w:r>
            <w:r>
              <w:rPr>
                <w:rFonts w:hint="eastAsia"/>
                <w:color w:val="auto"/>
                <w:sz w:val="24"/>
                <w:szCs w:val="24"/>
                <w:highlight w:val="none"/>
                <w:lang w:val="en-US" w:eastAsia="zh-CN"/>
              </w:rPr>
              <w:t>3</w:t>
            </w:r>
            <w:r>
              <w:rPr>
                <w:color w:val="auto"/>
                <w:sz w:val="24"/>
                <w:szCs w:val="24"/>
                <w:highlight w:val="none"/>
              </w:rPr>
              <w:t>分；方案不够周全、详细、具体、可行性较强的，得</w:t>
            </w:r>
            <w:r>
              <w:rPr>
                <w:rFonts w:hint="eastAsia"/>
                <w:color w:val="auto"/>
                <w:sz w:val="24"/>
                <w:szCs w:val="24"/>
                <w:highlight w:val="none"/>
                <w:lang w:val="en-US" w:eastAsia="zh-CN"/>
              </w:rPr>
              <w:t>2.8</w:t>
            </w:r>
            <w:r>
              <w:rPr>
                <w:color w:val="auto"/>
                <w:sz w:val="24"/>
                <w:szCs w:val="24"/>
                <w:highlight w:val="none"/>
              </w:rPr>
              <w:t>分；方案不够周全、详细、具体、可行性一般的，得</w:t>
            </w:r>
            <w:r>
              <w:rPr>
                <w:rFonts w:hint="eastAsia"/>
                <w:color w:val="auto"/>
                <w:sz w:val="24"/>
                <w:szCs w:val="24"/>
                <w:highlight w:val="none"/>
                <w:lang w:val="en-US" w:eastAsia="zh-CN"/>
              </w:rPr>
              <w:t>2.6</w:t>
            </w:r>
            <w:r>
              <w:rPr>
                <w:color w:val="auto"/>
                <w:sz w:val="24"/>
                <w:szCs w:val="24"/>
                <w:highlight w:val="none"/>
              </w:rPr>
              <w:t>分；未提供的不得分。</w:t>
            </w:r>
          </w:p>
        </w:tc>
      </w:tr>
      <w:tr w14:paraId="5E1C4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7DD749C9">
            <w:pPr>
              <w:pStyle w:val="8"/>
              <w:spacing w:line="440" w:lineRule="exact"/>
              <w:jc w:val="center"/>
              <w:rPr>
                <w:rFonts w:hint="default"/>
                <w:color w:val="auto"/>
                <w:sz w:val="24"/>
                <w:szCs w:val="24"/>
                <w:highlight w:val="none"/>
              </w:rPr>
            </w:pPr>
            <w:r>
              <w:rPr>
                <w:rFonts w:hint="eastAsia"/>
                <w:color w:val="auto"/>
                <w:sz w:val="24"/>
                <w:szCs w:val="24"/>
                <w:highlight w:val="none"/>
                <w:lang w:val="en-US" w:eastAsia="zh-CN"/>
              </w:rPr>
              <w:t>8</w:t>
            </w:r>
            <w:r>
              <w:rPr>
                <w:color w:val="auto"/>
                <w:sz w:val="24"/>
                <w:szCs w:val="24"/>
                <w:highlight w:val="none"/>
              </w:rPr>
              <w:t>.管理制度</w:t>
            </w:r>
          </w:p>
        </w:tc>
        <w:tc>
          <w:tcPr>
            <w:tcW w:w="994" w:type="dxa"/>
            <w:vAlign w:val="center"/>
          </w:tcPr>
          <w:p w14:paraId="4541E6E8">
            <w:pPr>
              <w:pStyle w:val="8"/>
              <w:spacing w:line="440" w:lineRule="exact"/>
              <w:jc w:val="center"/>
              <w:rPr>
                <w:rFonts w:hint="default"/>
                <w:color w:val="auto"/>
                <w:sz w:val="24"/>
                <w:szCs w:val="24"/>
                <w:highlight w:val="none"/>
              </w:rPr>
            </w:pPr>
            <w:r>
              <w:rPr>
                <w:rFonts w:hint="eastAsia"/>
                <w:color w:val="auto"/>
                <w:sz w:val="24"/>
                <w:szCs w:val="24"/>
                <w:highlight w:val="none"/>
                <w:lang w:val="en-US" w:eastAsia="zh-CN"/>
              </w:rPr>
              <w:t>2</w:t>
            </w:r>
            <w:r>
              <w:rPr>
                <w:color w:val="auto"/>
                <w:sz w:val="24"/>
                <w:szCs w:val="24"/>
                <w:highlight w:val="none"/>
              </w:rPr>
              <w:t>.00</w:t>
            </w:r>
          </w:p>
        </w:tc>
        <w:tc>
          <w:tcPr>
            <w:tcW w:w="1686" w:type="dxa"/>
            <w:vAlign w:val="center"/>
          </w:tcPr>
          <w:p w14:paraId="4EEF0C94">
            <w:pPr>
              <w:pStyle w:val="8"/>
              <w:spacing w:line="440" w:lineRule="exact"/>
              <w:jc w:val="center"/>
              <w:rPr>
                <w:rFonts w:hint="eastAsia" w:eastAsiaTheme="minorEastAsia"/>
                <w:color w:val="auto"/>
                <w:sz w:val="24"/>
                <w:szCs w:val="24"/>
                <w:highlight w:val="none"/>
                <w:lang w:val="en-US" w:eastAsia="zh-CN"/>
              </w:rPr>
            </w:pPr>
            <w:r>
              <w:rPr>
                <w:rFonts w:hint="eastAsia"/>
                <w:color w:val="auto"/>
                <w:sz w:val="24"/>
                <w:szCs w:val="24"/>
                <w:highlight w:val="none"/>
                <w:lang w:val="en-US" w:eastAsia="zh-CN"/>
              </w:rPr>
              <w:t>否</w:t>
            </w:r>
          </w:p>
        </w:tc>
        <w:tc>
          <w:tcPr>
            <w:tcW w:w="5703" w:type="dxa"/>
            <w:vAlign w:val="center"/>
          </w:tcPr>
          <w:p w14:paraId="39704950">
            <w:pPr>
              <w:pStyle w:val="8"/>
              <w:spacing w:line="440" w:lineRule="exact"/>
              <w:jc w:val="both"/>
              <w:rPr>
                <w:rFonts w:hint="default"/>
                <w:color w:val="auto"/>
                <w:sz w:val="24"/>
                <w:szCs w:val="24"/>
                <w:highlight w:val="none"/>
              </w:rPr>
            </w:pPr>
            <w:r>
              <w:rPr>
                <w:color w:val="auto"/>
                <w:sz w:val="24"/>
                <w:szCs w:val="24"/>
                <w:highlight w:val="none"/>
              </w:rPr>
              <w:t>根据</w:t>
            </w:r>
            <w:r>
              <w:rPr>
                <w:rFonts w:hint="eastAsia"/>
                <w:color w:val="auto"/>
                <w:sz w:val="24"/>
                <w:szCs w:val="24"/>
                <w:highlight w:val="none"/>
                <w:lang w:eastAsia="zh-CN"/>
              </w:rPr>
              <w:t>投标人</w:t>
            </w:r>
            <w:r>
              <w:rPr>
                <w:color w:val="auto"/>
                <w:sz w:val="24"/>
                <w:szCs w:val="24"/>
                <w:highlight w:val="none"/>
              </w:rPr>
              <w:t>所提供的各项管理制度的情况(包括但不限于：岗位职责、销售管理制度、安全责任制度、投诉管理制度等方面)，由评审小组进行评分：</w:t>
            </w:r>
            <w:r>
              <w:rPr>
                <w:rFonts w:hint="eastAsia"/>
                <w:color w:val="auto"/>
                <w:sz w:val="24"/>
                <w:szCs w:val="24"/>
                <w:highlight w:val="none"/>
                <w:lang w:val="en-US" w:eastAsia="zh-CN"/>
              </w:rPr>
              <w:t>制度</w:t>
            </w:r>
            <w:r>
              <w:rPr>
                <w:color w:val="auto"/>
                <w:sz w:val="24"/>
                <w:szCs w:val="24"/>
                <w:highlight w:val="none"/>
              </w:rPr>
              <w:t>完整、详细、具体、可行性强的，得</w:t>
            </w:r>
            <w:r>
              <w:rPr>
                <w:rFonts w:hint="eastAsia"/>
                <w:color w:val="auto"/>
                <w:sz w:val="24"/>
                <w:szCs w:val="24"/>
                <w:highlight w:val="none"/>
                <w:lang w:val="en-US" w:eastAsia="zh-CN"/>
              </w:rPr>
              <w:t>2</w:t>
            </w:r>
            <w:r>
              <w:rPr>
                <w:color w:val="auto"/>
                <w:sz w:val="24"/>
                <w:szCs w:val="24"/>
                <w:highlight w:val="none"/>
              </w:rPr>
              <w:t>分；制度不够周全、详细、具体、可行性较强的，得</w:t>
            </w:r>
            <w:r>
              <w:rPr>
                <w:rFonts w:hint="eastAsia"/>
                <w:color w:val="auto"/>
                <w:sz w:val="24"/>
                <w:szCs w:val="24"/>
                <w:highlight w:val="none"/>
                <w:lang w:val="en-US" w:eastAsia="zh-CN"/>
              </w:rPr>
              <w:t>1</w:t>
            </w:r>
            <w:r>
              <w:rPr>
                <w:color w:val="auto"/>
                <w:sz w:val="24"/>
                <w:szCs w:val="24"/>
                <w:highlight w:val="none"/>
                <w:lang w:eastAsia="zh-CN"/>
              </w:rPr>
              <w:t>.</w:t>
            </w:r>
            <w:r>
              <w:rPr>
                <w:rFonts w:hint="eastAsia"/>
                <w:color w:val="auto"/>
                <w:sz w:val="24"/>
                <w:szCs w:val="24"/>
                <w:highlight w:val="none"/>
                <w:lang w:val="en-US" w:eastAsia="zh-CN"/>
              </w:rPr>
              <w:t>8</w:t>
            </w:r>
            <w:r>
              <w:rPr>
                <w:color w:val="auto"/>
                <w:sz w:val="24"/>
                <w:szCs w:val="24"/>
                <w:highlight w:val="none"/>
              </w:rPr>
              <w:t>分；制度不周够全、详细、具体、可行性一般的，得</w:t>
            </w:r>
            <w:r>
              <w:rPr>
                <w:rFonts w:hint="eastAsia"/>
                <w:color w:val="auto"/>
                <w:sz w:val="24"/>
                <w:szCs w:val="24"/>
                <w:highlight w:val="none"/>
                <w:lang w:val="en-US" w:eastAsia="zh-CN"/>
              </w:rPr>
              <w:t>1</w:t>
            </w:r>
            <w:r>
              <w:rPr>
                <w:color w:val="auto"/>
                <w:sz w:val="24"/>
                <w:szCs w:val="24"/>
                <w:highlight w:val="none"/>
                <w:lang w:eastAsia="zh-CN"/>
              </w:rPr>
              <w:t>.</w:t>
            </w:r>
            <w:r>
              <w:rPr>
                <w:rFonts w:hint="eastAsia"/>
                <w:color w:val="auto"/>
                <w:sz w:val="24"/>
                <w:szCs w:val="24"/>
                <w:highlight w:val="none"/>
                <w:lang w:val="en-US" w:eastAsia="zh-CN"/>
              </w:rPr>
              <w:t>6</w:t>
            </w:r>
            <w:r>
              <w:rPr>
                <w:color w:val="auto"/>
                <w:sz w:val="24"/>
                <w:szCs w:val="24"/>
                <w:highlight w:val="none"/>
              </w:rPr>
              <w:t>分；未提供的不得分。</w:t>
            </w:r>
          </w:p>
        </w:tc>
      </w:tr>
      <w:tr w14:paraId="3702B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57AC2F01">
            <w:pPr>
              <w:pStyle w:val="8"/>
              <w:spacing w:line="440" w:lineRule="exact"/>
              <w:jc w:val="center"/>
              <w:rPr>
                <w:rFonts w:hint="default"/>
                <w:color w:val="auto"/>
                <w:sz w:val="24"/>
                <w:szCs w:val="24"/>
                <w:highlight w:val="none"/>
              </w:rPr>
            </w:pPr>
            <w:r>
              <w:rPr>
                <w:rFonts w:hint="eastAsia"/>
                <w:color w:val="auto"/>
                <w:sz w:val="24"/>
                <w:szCs w:val="24"/>
                <w:highlight w:val="none"/>
                <w:lang w:val="en-US" w:eastAsia="zh-CN"/>
              </w:rPr>
              <w:t>9</w:t>
            </w:r>
            <w:r>
              <w:rPr>
                <w:color w:val="auto"/>
                <w:sz w:val="24"/>
                <w:szCs w:val="24"/>
                <w:highlight w:val="none"/>
              </w:rPr>
              <w:t>.应急预案</w:t>
            </w:r>
          </w:p>
        </w:tc>
        <w:tc>
          <w:tcPr>
            <w:tcW w:w="994" w:type="dxa"/>
            <w:vAlign w:val="center"/>
          </w:tcPr>
          <w:p w14:paraId="224A4859">
            <w:pPr>
              <w:pStyle w:val="8"/>
              <w:spacing w:line="440" w:lineRule="exact"/>
              <w:jc w:val="center"/>
              <w:rPr>
                <w:rFonts w:hint="default"/>
                <w:color w:val="auto"/>
                <w:sz w:val="24"/>
                <w:szCs w:val="24"/>
                <w:highlight w:val="none"/>
              </w:rPr>
            </w:pPr>
            <w:r>
              <w:rPr>
                <w:color w:val="auto"/>
                <w:sz w:val="24"/>
                <w:szCs w:val="24"/>
                <w:highlight w:val="none"/>
              </w:rPr>
              <w:t>3.00</w:t>
            </w:r>
          </w:p>
        </w:tc>
        <w:tc>
          <w:tcPr>
            <w:tcW w:w="1686" w:type="dxa"/>
            <w:shd w:val="clear" w:color="auto" w:fill="auto"/>
            <w:vAlign w:val="center"/>
          </w:tcPr>
          <w:p w14:paraId="122CC931">
            <w:pPr>
              <w:pStyle w:val="8"/>
              <w:spacing w:line="440" w:lineRule="exact"/>
              <w:jc w:val="center"/>
              <w:rPr>
                <w:rFonts w:hint="eastAsia" w:eastAsiaTheme="minorEastAsia"/>
                <w:color w:val="auto"/>
                <w:sz w:val="24"/>
                <w:szCs w:val="24"/>
                <w:highlight w:val="none"/>
                <w:lang w:val="en-US" w:eastAsia="zh-CN"/>
              </w:rPr>
            </w:pPr>
            <w:r>
              <w:rPr>
                <w:rFonts w:hint="eastAsia"/>
                <w:color w:val="auto"/>
                <w:sz w:val="24"/>
                <w:szCs w:val="24"/>
                <w:highlight w:val="none"/>
                <w:lang w:val="en-US" w:eastAsia="zh-CN"/>
              </w:rPr>
              <w:t>否</w:t>
            </w:r>
          </w:p>
        </w:tc>
        <w:tc>
          <w:tcPr>
            <w:tcW w:w="5703" w:type="dxa"/>
            <w:shd w:val="clear" w:color="auto" w:fill="auto"/>
            <w:vAlign w:val="center"/>
          </w:tcPr>
          <w:p w14:paraId="1FE323AE">
            <w:pPr>
              <w:pStyle w:val="8"/>
              <w:spacing w:line="440" w:lineRule="exact"/>
              <w:jc w:val="both"/>
              <w:rPr>
                <w:rFonts w:hint="default"/>
                <w:color w:val="auto"/>
                <w:sz w:val="24"/>
                <w:szCs w:val="24"/>
                <w:highlight w:val="none"/>
                <w:lang w:val="en-US" w:eastAsia="zh-Hans"/>
              </w:rPr>
            </w:pPr>
            <w:r>
              <w:rPr>
                <w:color w:val="auto"/>
                <w:sz w:val="24"/>
                <w:szCs w:val="24"/>
                <w:highlight w:val="none"/>
              </w:rPr>
              <w:t>根据各投标人针对本项目情况提供的应急预案</w:t>
            </w:r>
            <w:r>
              <w:rPr>
                <w:rFonts w:hint="eastAsia"/>
                <w:color w:val="auto"/>
                <w:sz w:val="24"/>
                <w:szCs w:val="24"/>
                <w:highlight w:val="none"/>
                <w:lang w:eastAsia="zh-CN"/>
              </w:rPr>
              <w:t>（</w:t>
            </w:r>
            <w:r>
              <w:rPr>
                <w:color w:val="auto"/>
                <w:sz w:val="24"/>
                <w:szCs w:val="24"/>
                <w:highlight w:val="none"/>
              </w:rPr>
              <w:t>包括但不限于疫情应急预案、食品安全事故应急预案、自然灾害应急预案、</w:t>
            </w:r>
            <w:r>
              <w:rPr>
                <w:rFonts w:hint="eastAsia"/>
                <w:color w:val="auto"/>
                <w:sz w:val="24"/>
                <w:szCs w:val="24"/>
                <w:highlight w:val="none"/>
              </w:rPr>
              <w:t>配送车辆损坏</w:t>
            </w:r>
            <w:r>
              <w:rPr>
                <w:rFonts w:hint="eastAsia"/>
                <w:color w:val="auto"/>
                <w:sz w:val="24"/>
                <w:szCs w:val="24"/>
                <w:highlight w:val="none"/>
                <w:lang w:eastAsia="zh-CN"/>
              </w:rPr>
              <w:t>、突发公共卫生、</w:t>
            </w:r>
            <w:r>
              <w:rPr>
                <w:color w:val="auto"/>
                <w:sz w:val="24"/>
                <w:szCs w:val="24"/>
                <w:highlight w:val="none"/>
              </w:rPr>
              <w:t>停水停电</w:t>
            </w:r>
            <w:r>
              <w:rPr>
                <w:rFonts w:hint="eastAsia"/>
                <w:color w:val="auto"/>
                <w:sz w:val="24"/>
                <w:szCs w:val="24"/>
                <w:highlight w:val="none"/>
                <w:lang w:val="en-US" w:eastAsia="zh-CN"/>
              </w:rPr>
              <w:t>等</w:t>
            </w:r>
            <w:r>
              <w:rPr>
                <w:color w:val="auto"/>
                <w:sz w:val="24"/>
                <w:szCs w:val="24"/>
                <w:highlight w:val="none"/>
              </w:rPr>
              <w:t>应急预案</w:t>
            </w:r>
            <w:r>
              <w:rPr>
                <w:rFonts w:hint="eastAsia"/>
                <w:color w:val="auto"/>
                <w:sz w:val="24"/>
                <w:szCs w:val="24"/>
                <w:highlight w:val="none"/>
                <w:lang w:eastAsia="zh-CN"/>
              </w:rPr>
              <w:t>）</w:t>
            </w:r>
            <w:r>
              <w:rPr>
                <w:color w:val="auto"/>
                <w:sz w:val="24"/>
                <w:szCs w:val="24"/>
                <w:highlight w:val="none"/>
              </w:rPr>
              <w:t>，由</w:t>
            </w:r>
            <w:r>
              <w:rPr>
                <w:rFonts w:hint="eastAsia"/>
                <w:color w:val="auto"/>
                <w:sz w:val="24"/>
                <w:szCs w:val="24"/>
                <w:highlight w:val="none"/>
                <w:lang w:val="en-US" w:eastAsia="zh-CN"/>
              </w:rPr>
              <w:t>评审小组</w:t>
            </w:r>
            <w:r>
              <w:rPr>
                <w:color w:val="auto"/>
                <w:sz w:val="24"/>
                <w:szCs w:val="24"/>
                <w:highlight w:val="none"/>
              </w:rPr>
              <w:t>进行打分：预案完整、详细、具体、可行性强的，得</w:t>
            </w:r>
            <w:r>
              <w:rPr>
                <w:rFonts w:hint="eastAsia"/>
                <w:color w:val="auto"/>
                <w:sz w:val="24"/>
                <w:szCs w:val="24"/>
                <w:highlight w:val="none"/>
                <w:lang w:val="en-US" w:eastAsia="zh-CN"/>
              </w:rPr>
              <w:t>3</w:t>
            </w:r>
            <w:r>
              <w:rPr>
                <w:color w:val="auto"/>
                <w:sz w:val="24"/>
                <w:szCs w:val="24"/>
                <w:highlight w:val="none"/>
              </w:rPr>
              <w:t>分；预案不够周全、详细、具体、可行性较强的，得</w:t>
            </w:r>
            <w:r>
              <w:rPr>
                <w:rFonts w:hint="eastAsia"/>
                <w:color w:val="auto"/>
                <w:sz w:val="24"/>
                <w:szCs w:val="24"/>
                <w:highlight w:val="none"/>
                <w:lang w:val="en-US" w:eastAsia="zh-CN"/>
              </w:rPr>
              <w:t>2.8</w:t>
            </w:r>
            <w:r>
              <w:rPr>
                <w:color w:val="auto"/>
                <w:sz w:val="24"/>
                <w:szCs w:val="24"/>
                <w:highlight w:val="none"/>
              </w:rPr>
              <w:t>分；预案不够周全、详细、具体、可行性一般的，得</w:t>
            </w:r>
            <w:r>
              <w:rPr>
                <w:rFonts w:hint="eastAsia"/>
                <w:color w:val="auto"/>
                <w:sz w:val="24"/>
                <w:szCs w:val="24"/>
                <w:highlight w:val="none"/>
                <w:lang w:val="en-US" w:eastAsia="zh-CN"/>
              </w:rPr>
              <w:t>2.6</w:t>
            </w:r>
            <w:r>
              <w:rPr>
                <w:color w:val="auto"/>
                <w:sz w:val="24"/>
                <w:szCs w:val="24"/>
                <w:highlight w:val="none"/>
              </w:rPr>
              <w:t>分；未提供的不得分。</w:t>
            </w:r>
          </w:p>
        </w:tc>
      </w:tr>
      <w:tr w14:paraId="4B010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shd w:val="clear" w:color="auto" w:fill="auto"/>
            <w:vAlign w:val="center"/>
          </w:tcPr>
          <w:p w14:paraId="48CBE585">
            <w:pPr>
              <w:pStyle w:val="8"/>
              <w:spacing w:line="440" w:lineRule="exact"/>
              <w:jc w:val="center"/>
              <w:rPr>
                <w:rFonts w:hint="default" w:asciiTheme="minorHAnsi" w:hAnsiTheme="minorHAnsi" w:eastAsiaTheme="minorEastAsia" w:cstheme="minorBidi"/>
                <w:color w:val="auto"/>
                <w:sz w:val="24"/>
                <w:szCs w:val="24"/>
                <w:highlight w:val="none"/>
                <w:lang w:val="en-US" w:eastAsia="zh-CN"/>
              </w:rPr>
            </w:pPr>
            <w:r>
              <w:rPr>
                <w:rFonts w:hint="eastAsia"/>
                <w:color w:val="auto"/>
                <w:sz w:val="24"/>
                <w:szCs w:val="24"/>
                <w:highlight w:val="none"/>
                <w:lang w:val="en-US" w:eastAsia="zh-CN"/>
              </w:rPr>
              <w:t>10.</w:t>
            </w:r>
            <w:r>
              <w:rPr>
                <w:color w:val="auto"/>
                <w:sz w:val="24"/>
                <w:szCs w:val="24"/>
                <w:highlight w:val="none"/>
              </w:rPr>
              <w:t>退换货方案</w:t>
            </w:r>
          </w:p>
        </w:tc>
        <w:tc>
          <w:tcPr>
            <w:tcW w:w="994" w:type="dxa"/>
            <w:shd w:val="clear" w:color="auto" w:fill="auto"/>
            <w:vAlign w:val="center"/>
          </w:tcPr>
          <w:p w14:paraId="4DC8A6A8">
            <w:pPr>
              <w:pStyle w:val="8"/>
              <w:spacing w:line="440" w:lineRule="exact"/>
              <w:jc w:val="center"/>
              <w:rPr>
                <w:rFonts w:hint="default" w:asciiTheme="minorHAnsi" w:hAnsiTheme="minorHAnsi" w:eastAsiaTheme="minorEastAsia" w:cstheme="minorBidi"/>
                <w:color w:val="auto"/>
                <w:sz w:val="24"/>
                <w:szCs w:val="24"/>
                <w:highlight w:val="none"/>
                <w:lang w:val="en-US" w:eastAsia="zh-Hans"/>
              </w:rPr>
            </w:pPr>
            <w:r>
              <w:rPr>
                <w:rFonts w:hint="eastAsia"/>
                <w:color w:val="auto"/>
                <w:sz w:val="24"/>
                <w:szCs w:val="24"/>
                <w:highlight w:val="none"/>
                <w:lang w:val="en-US" w:eastAsia="zh-CN"/>
              </w:rPr>
              <w:t>2</w:t>
            </w:r>
            <w:r>
              <w:rPr>
                <w:color w:val="auto"/>
                <w:sz w:val="24"/>
                <w:szCs w:val="24"/>
                <w:highlight w:val="none"/>
              </w:rPr>
              <w:t>.00</w:t>
            </w:r>
          </w:p>
        </w:tc>
        <w:tc>
          <w:tcPr>
            <w:tcW w:w="1686" w:type="dxa"/>
            <w:shd w:val="clear" w:color="auto" w:fill="auto"/>
            <w:vAlign w:val="center"/>
          </w:tcPr>
          <w:p w14:paraId="61BAE663">
            <w:pPr>
              <w:pStyle w:val="8"/>
              <w:spacing w:line="440" w:lineRule="exact"/>
              <w:jc w:val="center"/>
              <w:rPr>
                <w:rFonts w:hint="eastAsia" w:eastAsiaTheme="minorEastAsia"/>
                <w:color w:val="auto"/>
                <w:sz w:val="24"/>
                <w:szCs w:val="24"/>
                <w:highlight w:val="none"/>
                <w:lang w:val="en-US" w:eastAsia="zh-CN"/>
              </w:rPr>
            </w:pPr>
            <w:r>
              <w:rPr>
                <w:rFonts w:hint="eastAsia"/>
                <w:color w:val="auto"/>
                <w:sz w:val="24"/>
                <w:szCs w:val="24"/>
                <w:highlight w:val="none"/>
                <w:lang w:val="en-US" w:eastAsia="zh-CN"/>
              </w:rPr>
              <w:t>否</w:t>
            </w:r>
          </w:p>
        </w:tc>
        <w:tc>
          <w:tcPr>
            <w:tcW w:w="5703" w:type="dxa"/>
            <w:shd w:val="clear" w:color="auto" w:fill="auto"/>
            <w:vAlign w:val="center"/>
          </w:tcPr>
          <w:p w14:paraId="025FED31">
            <w:pPr>
              <w:pStyle w:val="8"/>
              <w:spacing w:line="440" w:lineRule="exact"/>
              <w:jc w:val="both"/>
              <w:rPr>
                <w:rFonts w:hint="default" w:asciiTheme="minorHAnsi" w:hAnsiTheme="minorHAnsi" w:eastAsiaTheme="minorEastAsia" w:cstheme="minorBidi"/>
                <w:color w:val="auto"/>
                <w:sz w:val="24"/>
                <w:szCs w:val="24"/>
                <w:highlight w:val="none"/>
                <w:lang w:val="en-US" w:eastAsia="zh-Hans"/>
              </w:rPr>
            </w:pPr>
            <w:r>
              <w:rPr>
                <w:color w:val="auto"/>
                <w:sz w:val="24"/>
                <w:szCs w:val="24"/>
                <w:highlight w:val="none"/>
              </w:rPr>
              <w:t>根据</w:t>
            </w:r>
            <w:r>
              <w:rPr>
                <w:rFonts w:hint="eastAsia"/>
                <w:color w:val="auto"/>
                <w:sz w:val="24"/>
                <w:szCs w:val="24"/>
                <w:highlight w:val="none"/>
                <w:lang w:eastAsia="zh-CN"/>
              </w:rPr>
              <w:t>投标人</w:t>
            </w:r>
            <w:r>
              <w:rPr>
                <w:color w:val="auto"/>
                <w:sz w:val="24"/>
                <w:szCs w:val="24"/>
                <w:highlight w:val="none"/>
              </w:rPr>
              <w:t>所提供的针对本项目产品不合格品的退换方案</w:t>
            </w:r>
            <w:r>
              <w:rPr>
                <w:rFonts w:hint="eastAsia"/>
                <w:color w:val="auto"/>
                <w:sz w:val="24"/>
                <w:szCs w:val="24"/>
                <w:highlight w:val="none"/>
                <w:lang w:eastAsia="zh-CN"/>
              </w:rPr>
              <w:t>（</w:t>
            </w:r>
            <w:r>
              <w:rPr>
                <w:color w:val="auto"/>
                <w:sz w:val="24"/>
                <w:szCs w:val="24"/>
                <w:highlight w:val="none"/>
              </w:rPr>
              <w:t>包括但不限于退换货流程、退货方案及换货方案、配送计划等</w:t>
            </w:r>
            <w:r>
              <w:rPr>
                <w:rFonts w:hint="eastAsia"/>
                <w:color w:val="auto"/>
                <w:sz w:val="24"/>
                <w:szCs w:val="24"/>
                <w:highlight w:val="none"/>
                <w:lang w:eastAsia="zh-CN"/>
              </w:rPr>
              <w:t>）</w:t>
            </w:r>
            <w:r>
              <w:rPr>
                <w:color w:val="auto"/>
                <w:sz w:val="24"/>
                <w:szCs w:val="24"/>
                <w:highlight w:val="none"/>
              </w:rPr>
              <w:t>，由评审小组进行评分：方案完整、详细、具体、可行性强的，得</w:t>
            </w:r>
            <w:r>
              <w:rPr>
                <w:rFonts w:hint="eastAsia"/>
                <w:color w:val="auto"/>
                <w:sz w:val="24"/>
                <w:szCs w:val="24"/>
                <w:highlight w:val="none"/>
                <w:lang w:val="en-US" w:eastAsia="zh-CN"/>
              </w:rPr>
              <w:t>2</w:t>
            </w:r>
            <w:r>
              <w:rPr>
                <w:color w:val="auto"/>
                <w:sz w:val="24"/>
                <w:szCs w:val="24"/>
                <w:highlight w:val="none"/>
              </w:rPr>
              <w:t>.0分；方案不够周全、详细、具体、可行性较强的，得</w:t>
            </w:r>
            <w:r>
              <w:rPr>
                <w:rFonts w:hint="eastAsia"/>
                <w:color w:val="auto"/>
                <w:sz w:val="24"/>
                <w:szCs w:val="24"/>
                <w:highlight w:val="none"/>
                <w:lang w:val="en-US" w:eastAsia="zh-CN"/>
              </w:rPr>
              <w:t>1</w:t>
            </w:r>
            <w:r>
              <w:rPr>
                <w:color w:val="auto"/>
                <w:sz w:val="24"/>
                <w:szCs w:val="24"/>
                <w:highlight w:val="none"/>
                <w:lang w:eastAsia="zh-CN"/>
              </w:rPr>
              <w:t>.</w:t>
            </w:r>
            <w:r>
              <w:rPr>
                <w:rFonts w:hint="eastAsia"/>
                <w:color w:val="auto"/>
                <w:sz w:val="24"/>
                <w:szCs w:val="24"/>
                <w:highlight w:val="none"/>
                <w:lang w:val="en-US" w:eastAsia="zh-CN"/>
              </w:rPr>
              <w:t>8</w:t>
            </w:r>
            <w:r>
              <w:rPr>
                <w:color w:val="auto"/>
                <w:sz w:val="24"/>
                <w:szCs w:val="24"/>
                <w:highlight w:val="none"/>
              </w:rPr>
              <w:t>分；方案不够周全、详细、具体、可行性一般的，得</w:t>
            </w:r>
            <w:r>
              <w:rPr>
                <w:rFonts w:hint="eastAsia"/>
                <w:color w:val="auto"/>
                <w:sz w:val="24"/>
                <w:szCs w:val="24"/>
                <w:highlight w:val="none"/>
                <w:lang w:val="en-US" w:eastAsia="zh-CN"/>
              </w:rPr>
              <w:t>1</w:t>
            </w:r>
            <w:r>
              <w:rPr>
                <w:color w:val="auto"/>
                <w:sz w:val="24"/>
                <w:szCs w:val="24"/>
                <w:highlight w:val="none"/>
                <w:lang w:eastAsia="zh-CN"/>
              </w:rPr>
              <w:t>.</w:t>
            </w:r>
            <w:r>
              <w:rPr>
                <w:rFonts w:hint="eastAsia"/>
                <w:color w:val="auto"/>
                <w:sz w:val="24"/>
                <w:szCs w:val="24"/>
                <w:highlight w:val="none"/>
                <w:lang w:val="en-US" w:eastAsia="zh-CN"/>
              </w:rPr>
              <w:t>6</w:t>
            </w:r>
            <w:r>
              <w:rPr>
                <w:color w:val="auto"/>
                <w:sz w:val="24"/>
                <w:szCs w:val="24"/>
                <w:highlight w:val="none"/>
              </w:rPr>
              <w:t>分；未提供的不得分。</w:t>
            </w:r>
          </w:p>
        </w:tc>
      </w:tr>
      <w:tr w14:paraId="4F3BE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shd w:val="clear" w:color="auto" w:fill="auto"/>
            <w:vAlign w:val="center"/>
          </w:tcPr>
          <w:p w14:paraId="0EA08B0E">
            <w:pPr>
              <w:pStyle w:val="8"/>
              <w:spacing w:line="440" w:lineRule="exact"/>
              <w:jc w:val="both"/>
              <w:rPr>
                <w:rFonts w:hint="default" w:asciiTheme="minorHAnsi" w:hAnsiTheme="minorHAnsi" w:eastAsiaTheme="minorEastAsia" w:cstheme="minorBidi"/>
                <w:color w:val="auto"/>
                <w:sz w:val="24"/>
                <w:szCs w:val="24"/>
                <w:highlight w:val="none"/>
                <w:lang w:val="en-US" w:eastAsia="zh-CN"/>
              </w:rPr>
            </w:pPr>
            <w:r>
              <w:rPr>
                <w:rFonts w:hint="eastAsia"/>
                <w:color w:val="auto"/>
                <w:sz w:val="24"/>
                <w:szCs w:val="24"/>
                <w:highlight w:val="none"/>
                <w:lang w:val="en-US" w:eastAsia="zh-CN"/>
              </w:rPr>
              <w:t>11.</w:t>
            </w:r>
            <w:r>
              <w:rPr>
                <w:color w:val="auto"/>
                <w:sz w:val="24"/>
                <w:szCs w:val="24"/>
                <w:highlight w:val="none"/>
              </w:rPr>
              <w:t>食品安全保障措施及服务承诺</w:t>
            </w:r>
          </w:p>
        </w:tc>
        <w:tc>
          <w:tcPr>
            <w:tcW w:w="994" w:type="dxa"/>
            <w:shd w:val="clear" w:color="auto" w:fill="auto"/>
            <w:vAlign w:val="center"/>
          </w:tcPr>
          <w:p w14:paraId="3DB494D8">
            <w:pPr>
              <w:pStyle w:val="8"/>
              <w:spacing w:line="440" w:lineRule="exact"/>
              <w:jc w:val="center"/>
              <w:rPr>
                <w:rFonts w:hint="default" w:asciiTheme="minorHAnsi" w:hAnsiTheme="minorHAnsi" w:eastAsiaTheme="minorEastAsia" w:cstheme="minorBidi"/>
                <w:color w:val="auto"/>
                <w:sz w:val="24"/>
                <w:szCs w:val="24"/>
                <w:highlight w:val="none"/>
                <w:lang w:val="en-US" w:eastAsia="zh-CN"/>
              </w:rPr>
            </w:pPr>
            <w:r>
              <w:rPr>
                <w:color w:val="auto"/>
                <w:sz w:val="24"/>
                <w:szCs w:val="24"/>
                <w:highlight w:val="none"/>
              </w:rPr>
              <w:t>3</w:t>
            </w:r>
            <w:r>
              <w:rPr>
                <w:rFonts w:hint="eastAsia"/>
                <w:color w:val="auto"/>
                <w:sz w:val="24"/>
                <w:szCs w:val="24"/>
                <w:highlight w:val="none"/>
                <w:lang w:val="en-US" w:eastAsia="zh-CN"/>
              </w:rPr>
              <w:t>.00</w:t>
            </w:r>
          </w:p>
        </w:tc>
        <w:tc>
          <w:tcPr>
            <w:tcW w:w="1686" w:type="dxa"/>
            <w:shd w:val="clear" w:color="auto" w:fill="auto"/>
            <w:vAlign w:val="center"/>
          </w:tcPr>
          <w:p w14:paraId="0F8F478D">
            <w:pPr>
              <w:pStyle w:val="8"/>
              <w:spacing w:line="440" w:lineRule="exact"/>
              <w:jc w:val="center"/>
              <w:rPr>
                <w:rFonts w:hint="eastAsia" w:eastAsiaTheme="minorEastAsia"/>
                <w:color w:val="auto"/>
                <w:sz w:val="24"/>
                <w:szCs w:val="24"/>
                <w:highlight w:val="none"/>
                <w:lang w:val="en-US" w:eastAsia="zh-CN"/>
              </w:rPr>
            </w:pPr>
            <w:r>
              <w:rPr>
                <w:rFonts w:hint="eastAsia"/>
                <w:color w:val="auto"/>
                <w:sz w:val="24"/>
                <w:szCs w:val="24"/>
                <w:highlight w:val="none"/>
                <w:lang w:val="en-US" w:eastAsia="zh-CN"/>
              </w:rPr>
              <w:t>否</w:t>
            </w:r>
          </w:p>
        </w:tc>
        <w:tc>
          <w:tcPr>
            <w:tcW w:w="5703" w:type="dxa"/>
            <w:shd w:val="clear" w:color="auto" w:fill="auto"/>
            <w:vAlign w:val="center"/>
          </w:tcPr>
          <w:p w14:paraId="290DAFA4">
            <w:pPr>
              <w:pStyle w:val="8"/>
              <w:spacing w:line="440" w:lineRule="exact"/>
              <w:jc w:val="both"/>
              <w:rPr>
                <w:rFonts w:hint="default" w:asciiTheme="minorHAnsi" w:hAnsiTheme="minorHAnsi" w:eastAsiaTheme="minorEastAsia" w:cstheme="minorBidi"/>
                <w:color w:val="auto"/>
                <w:sz w:val="24"/>
                <w:szCs w:val="24"/>
                <w:highlight w:val="none"/>
                <w:lang w:val="en-US" w:eastAsia="zh-Hans"/>
              </w:rPr>
            </w:pPr>
            <w:r>
              <w:rPr>
                <w:color w:val="auto"/>
                <w:sz w:val="24"/>
                <w:szCs w:val="24"/>
                <w:highlight w:val="none"/>
              </w:rPr>
              <w:t>根据投标人为保证食品安全采取的保证措施及服务承诺情况（包含但不限于进货索证索票、产品留样管理、环境卫生管理、虫鼠害控制、清洗消毒、疫情防控措施等方面），由评委进行评分：承诺内容详实、完整、可操作的得3分；承诺内容部分详实或部分内容可操作得</w:t>
            </w:r>
            <w:r>
              <w:rPr>
                <w:color w:val="auto"/>
                <w:sz w:val="24"/>
                <w:szCs w:val="24"/>
                <w:highlight w:val="none"/>
                <w:lang w:eastAsia="zh-CN"/>
              </w:rPr>
              <w:t>2.</w:t>
            </w:r>
            <w:r>
              <w:rPr>
                <w:rFonts w:hint="eastAsia"/>
                <w:color w:val="auto"/>
                <w:sz w:val="24"/>
                <w:szCs w:val="24"/>
                <w:highlight w:val="none"/>
                <w:lang w:val="en-US" w:eastAsia="zh-CN"/>
              </w:rPr>
              <w:t>8</w:t>
            </w:r>
            <w:r>
              <w:rPr>
                <w:color w:val="auto"/>
                <w:sz w:val="24"/>
                <w:szCs w:val="24"/>
                <w:highlight w:val="none"/>
              </w:rPr>
              <w:t>分；承诺内容存在缺漏但基本符合服务要求的得分</w:t>
            </w:r>
            <w:r>
              <w:rPr>
                <w:color w:val="auto"/>
                <w:sz w:val="24"/>
                <w:szCs w:val="24"/>
                <w:highlight w:val="none"/>
                <w:lang w:eastAsia="zh-CN"/>
              </w:rPr>
              <w:t>2.</w:t>
            </w:r>
            <w:r>
              <w:rPr>
                <w:rFonts w:hint="eastAsia"/>
                <w:color w:val="auto"/>
                <w:sz w:val="24"/>
                <w:szCs w:val="24"/>
                <w:highlight w:val="none"/>
                <w:lang w:val="en-US" w:eastAsia="zh-CN"/>
              </w:rPr>
              <w:t>6</w:t>
            </w:r>
            <w:r>
              <w:rPr>
                <w:color w:val="auto"/>
                <w:sz w:val="24"/>
                <w:szCs w:val="24"/>
                <w:highlight w:val="none"/>
              </w:rPr>
              <w:t>分；未提供承诺的不得分。</w:t>
            </w:r>
          </w:p>
        </w:tc>
      </w:tr>
      <w:tr w14:paraId="46057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738BA24">
            <w:pPr>
              <w:pStyle w:val="8"/>
              <w:spacing w:line="440" w:lineRule="exact"/>
              <w:jc w:val="center"/>
              <w:rPr>
                <w:rFonts w:hint="default"/>
                <w:color w:val="auto"/>
                <w:sz w:val="24"/>
                <w:szCs w:val="24"/>
                <w:highlight w:val="none"/>
              </w:rPr>
            </w:pPr>
            <w:r>
              <w:rPr>
                <w:rFonts w:hint="eastAsia"/>
                <w:color w:val="auto"/>
                <w:sz w:val="24"/>
                <w:szCs w:val="24"/>
                <w:highlight w:val="none"/>
                <w:lang w:val="en-US" w:eastAsia="zh-CN"/>
              </w:rPr>
              <w:t>12.</w:t>
            </w:r>
            <w:r>
              <w:rPr>
                <w:color w:val="auto"/>
                <w:sz w:val="24"/>
                <w:szCs w:val="24"/>
                <w:highlight w:val="none"/>
              </w:rPr>
              <w:t>食品安全责任保险</w:t>
            </w:r>
          </w:p>
        </w:tc>
        <w:tc>
          <w:tcPr>
            <w:tcW w:w="994" w:type="dxa"/>
            <w:vAlign w:val="center"/>
          </w:tcPr>
          <w:p w14:paraId="56F06305">
            <w:pPr>
              <w:pStyle w:val="8"/>
              <w:spacing w:line="440" w:lineRule="exact"/>
              <w:jc w:val="center"/>
              <w:rPr>
                <w:rFonts w:hint="default"/>
                <w:color w:val="auto"/>
                <w:sz w:val="24"/>
                <w:szCs w:val="24"/>
                <w:highlight w:val="none"/>
              </w:rPr>
            </w:pPr>
            <w:r>
              <w:rPr>
                <w:color w:val="auto"/>
                <w:sz w:val="24"/>
                <w:szCs w:val="24"/>
                <w:highlight w:val="none"/>
              </w:rPr>
              <w:t>3.00</w:t>
            </w:r>
          </w:p>
        </w:tc>
        <w:tc>
          <w:tcPr>
            <w:tcW w:w="1686" w:type="dxa"/>
            <w:vAlign w:val="center"/>
          </w:tcPr>
          <w:p w14:paraId="5857FE90">
            <w:pPr>
              <w:pStyle w:val="8"/>
              <w:spacing w:line="440" w:lineRule="exact"/>
              <w:jc w:val="center"/>
              <w:rPr>
                <w:rFonts w:hint="eastAsia" w:eastAsiaTheme="minorEastAsia"/>
                <w:color w:val="auto"/>
                <w:sz w:val="24"/>
                <w:szCs w:val="24"/>
                <w:highlight w:val="none"/>
                <w:lang w:val="en-US" w:eastAsia="zh-CN"/>
              </w:rPr>
            </w:pPr>
            <w:r>
              <w:rPr>
                <w:rFonts w:hint="eastAsia"/>
                <w:color w:val="auto"/>
                <w:sz w:val="24"/>
                <w:szCs w:val="24"/>
                <w:highlight w:val="none"/>
                <w:lang w:val="en-US" w:eastAsia="zh-CN"/>
              </w:rPr>
              <w:t>是</w:t>
            </w:r>
          </w:p>
        </w:tc>
        <w:tc>
          <w:tcPr>
            <w:tcW w:w="5703" w:type="dxa"/>
            <w:vAlign w:val="center"/>
          </w:tcPr>
          <w:p w14:paraId="7D6319B6">
            <w:pPr>
              <w:pStyle w:val="8"/>
              <w:spacing w:line="440" w:lineRule="exact"/>
              <w:jc w:val="both"/>
              <w:rPr>
                <w:rFonts w:hint="eastAsia" w:eastAsiaTheme="minorEastAsia"/>
                <w:color w:val="auto"/>
                <w:sz w:val="24"/>
                <w:szCs w:val="24"/>
                <w:highlight w:val="none"/>
                <w:lang w:eastAsia="zh-CN"/>
              </w:rPr>
            </w:pPr>
            <w:r>
              <w:rPr>
                <w:rFonts w:hint="eastAsia"/>
                <w:color w:val="auto"/>
                <w:sz w:val="24"/>
                <w:szCs w:val="24"/>
                <w:highlight w:val="none"/>
              </w:rPr>
              <w:t>因本项目配送范围涉及全</w:t>
            </w:r>
            <w:r>
              <w:rPr>
                <w:rFonts w:hint="eastAsia"/>
                <w:color w:val="auto"/>
                <w:sz w:val="24"/>
                <w:szCs w:val="24"/>
                <w:highlight w:val="none"/>
                <w:lang w:val="en-US" w:eastAsia="zh-CN"/>
              </w:rPr>
              <w:t>县</w:t>
            </w:r>
            <w:r>
              <w:rPr>
                <w:rFonts w:hint="eastAsia"/>
                <w:color w:val="auto"/>
                <w:sz w:val="24"/>
                <w:szCs w:val="24"/>
                <w:highlight w:val="none"/>
              </w:rPr>
              <w:t>义务教育阶段</w:t>
            </w:r>
            <w:r>
              <w:rPr>
                <w:rFonts w:hint="eastAsia"/>
                <w:color w:val="auto"/>
                <w:sz w:val="24"/>
                <w:szCs w:val="24"/>
                <w:highlight w:val="none"/>
                <w:lang w:eastAsia="zh-CN"/>
              </w:rPr>
              <w:t>、</w:t>
            </w:r>
            <w:r>
              <w:rPr>
                <w:rFonts w:hint="eastAsia"/>
                <w:color w:val="auto"/>
                <w:sz w:val="24"/>
                <w:szCs w:val="24"/>
                <w:highlight w:val="none"/>
                <w:lang w:val="en-US" w:eastAsia="zh-CN"/>
              </w:rPr>
              <w:t>幼儿园、中小学社会实践活动基地</w:t>
            </w:r>
            <w:r>
              <w:rPr>
                <w:rFonts w:hint="eastAsia"/>
                <w:color w:val="auto"/>
                <w:sz w:val="24"/>
                <w:szCs w:val="24"/>
                <w:highlight w:val="none"/>
              </w:rPr>
              <w:t>所有学校，投标人承诺在采购合同签订后、合同履行前为本项目购买专项食品安全责任险（须覆盖本项目整个合同期）。投标人承诺为本项目购买专项</w:t>
            </w:r>
            <w:r>
              <w:rPr>
                <w:rFonts w:hint="eastAsia"/>
                <w:color w:val="auto"/>
                <w:sz w:val="24"/>
                <w:szCs w:val="24"/>
                <w:highlight w:val="none"/>
                <w:lang w:eastAsia="zh-CN"/>
              </w:rPr>
              <w:t>“</w:t>
            </w:r>
            <w:r>
              <w:rPr>
                <w:rFonts w:hint="eastAsia"/>
                <w:color w:val="auto"/>
                <w:sz w:val="24"/>
                <w:szCs w:val="24"/>
                <w:highlight w:val="none"/>
              </w:rPr>
              <w:t>食品安全责任险</w:t>
            </w:r>
            <w:r>
              <w:rPr>
                <w:rFonts w:hint="eastAsia"/>
                <w:color w:val="auto"/>
                <w:sz w:val="24"/>
                <w:szCs w:val="24"/>
                <w:highlight w:val="none"/>
                <w:lang w:eastAsia="zh-CN"/>
              </w:rPr>
              <w:t>”</w:t>
            </w:r>
            <w:r>
              <w:rPr>
                <w:color w:val="auto"/>
                <w:sz w:val="24"/>
                <w:szCs w:val="24"/>
                <w:highlight w:val="none"/>
              </w:rPr>
              <w:t>情况，由评审小组进行评分：</w:t>
            </w:r>
            <w:r>
              <w:rPr>
                <w:rFonts w:hint="eastAsia"/>
                <w:color w:val="auto"/>
                <w:sz w:val="24"/>
                <w:szCs w:val="24"/>
                <w:highlight w:val="none"/>
                <w:lang w:val="en-US" w:eastAsia="zh-CN"/>
              </w:rPr>
              <w:t>3</w:t>
            </w:r>
            <w:r>
              <w:rPr>
                <w:color w:val="auto"/>
                <w:sz w:val="24"/>
                <w:szCs w:val="24"/>
                <w:highlight w:val="none"/>
              </w:rPr>
              <w:t>000万元≤保险金额＜</w:t>
            </w:r>
            <w:r>
              <w:rPr>
                <w:rFonts w:hint="eastAsia"/>
                <w:color w:val="auto"/>
                <w:sz w:val="24"/>
                <w:szCs w:val="24"/>
                <w:highlight w:val="none"/>
                <w:lang w:val="en-US" w:eastAsia="zh-CN"/>
              </w:rPr>
              <w:t>5</w:t>
            </w:r>
            <w:r>
              <w:rPr>
                <w:color w:val="auto"/>
                <w:sz w:val="24"/>
                <w:szCs w:val="24"/>
                <w:highlight w:val="none"/>
              </w:rPr>
              <w:t>000万元的得1分；</w:t>
            </w:r>
            <w:r>
              <w:rPr>
                <w:rFonts w:hint="eastAsia"/>
                <w:color w:val="auto"/>
                <w:sz w:val="24"/>
                <w:szCs w:val="24"/>
                <w:highlight w:val="none"/>
                <w:lang w:val="en-US" w:eastAsia="zh-CN"/>
              </w:rPr>
              <w:t>5</w:t>
            </w:r>
            <w:r>
              <w:rPr>
                <w:color w:val="auto"/>
                <w:sz w:val="24"/>
                <w:szCs w:val="24"/>
                <w:highlight w:val="none"/>
              </w:rPr>
              <w:t>000万元≤保险金额＜</w:t>
            </w:r>
            <w:r>
              <w:rPr>
                <w:rFonts w:hint="eastAsia"/>
                <w:color w:val="auto"/>
                <w:sz w:val="24"/>
                <w:szCs w:val="24"/>
                <w:highlight w:val="none"/>
                <w:lang w:val="en-US" w:eastAsia="zh-CN"/>
              </w:rPr>
              <w:t>1亿</w:t>
            </w:r>
            <w:r>
              <w:rPr>
                <w:color w:val="auto"/>
                <w:sz w:val="24"/>
                <w:szCs w:val="24"/>
                <w:highlight w:val="none"/>
              </w:rPr>
              <w:t>元的得2分；保险金额≥</w:t>
            </w:r>
            <w:r>
              <w:rPr>
                <w:rFonts w:hint="eastAsia"/>
                <w:color w:val="auto"/>
                <w:sz w:val="24"/>
                <w:szCs w:val="24"/>
                <w:highlight w:val="none"/>
                <w:lang w:val="en-US" w:eastAsia="zh-CN"/>
              </w:rPr>
              <w:t>1亿元</w:t>
            </w:r>
            <w:r>
              <w:rPr>
                <w:color w:val="auto"/>
                <w:sz w:val="24"/>
                <w:szCs w:val="24"/>
                <w:highlight w:val="none"/>
              </w:rPr>
              <w:t>的得3分。</w:t>
            </w:r>
            <w:r>
              <w:rPr>
                <w:rFonts w:hint="eastAsia"/>
                <w:color w:val="auto"/>
                <w:sz w:val="24"/>
                <w:szCs w:val="24"/>
                <w:highlight w:val="none"/>
              </w:rPr>
              <w:t>（须提供专项承诺函加盖投标人公章，未提供不得分</w:t>
            </w:r>
            <w:r>
              <w:rPr>
                <w:rFonts w:hint="eastAsia"/>
                <w:color w:val="auto"/>
                <w:sz w:val="24"/>
                <w:szCs w:val="24"/>
                <w:highlight w:val="none"/>
                <w:lang w:eastAsia="zh-CN"/>
              </w:rPr>
              <w:t>）</w:t>
            </w:r>
          </w:p>
        </w:tc>
      </w:tr>
    </w:tbl>
    <w:p w14:paraId="20C7E5B3">
      <w:pPr>
        <w:pStyle w:val="8"/>
        <w:spacing w:line="440" w:lineRule="exact"/>
        <w:jc w:val="both"/>
        <w:rPr>
          <w:rFonts w:hint="default"/>
          <w:color w:val="auto"/>
          <w:sz w:val="24"/>
          <w:szCs w:val="24"/>
          <w:highlight w:val="none"/>
          <w:lang w:eastAsia="zh-CN"/>
        </w:rPr>
      </w:pPr>
    </w:p>
    <w:p w14:paraId="26C87CA6">
      <w:pPr>
        <w:pStyle w:val="8"/>
        <w:spacing w:line="440" w:lineRule="exact"/>
        <w:jc w:val="both"/>
        <w:rPr>
          <w:rFonts w:hint="default"/>
          <w:color w:val="auto"/>
          <w:sz w:val="24"/>
          <w:szCs w:val="24"/>
          <w:highlight w:val="none"/>
          <w:lang w:eastAsia="zh-CN"/>
        </w:rPr>
      </w:pPr>
      <w:r>
        <w:rPr>
          <w:color w:val="auto"/>
          <w:sz w:val="24"/>
          <w:szCs w:val="24"/>
          <w:highlight w:val="none"/>
        </w:rPr>
        <w:t>商务项（F3×A3）满分为</w:t>
      </w:r>
      <w:r>
        <w:rPr>
          <w:rFonts w:hint="eastAsia"/>
          <w:color w:val="auto"/>
          <w:sz w:val="24"/>
          <w:szCs w:val="24"/>
          <w:highlight w:val="none"/>
          <w:lang w:val="en-US" w:eastAsia="zh-CN"/>
        </w:rPr>
        <w:t>12</w:t>
      </w:r>
      <w:r>
        <w:rPr>
          <w:color w:val="auto"/>
          <w:sz w:val="24"/>
          <w:szCs w:val="24"/>
          <w:highlight w:val="none"/>
          <w:lang w:eastAsia="zh-CN"/>
        </w:rPr>
        <w:t>分</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01"/>
        <w:gridCol w:w="856"/>
        <w:gridCol w:w="7674"/>
      </w:tblGrid>
      <w:tr w14:paraId="769EE1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01" w:type="dxa"/>
          </w:tcPr>
          <w:p w14:paraId="447FC4A9">
            <w:pPr>
              <w:pStyle w:val="8"/>
              <w:spacing w:line="440" w:lineRule="exact"/>
              <w:jc w:val="both"/>
              <w:rPr>
                <w:rFonts w:hint="default"/>
                <w:color w:val="auto"/>
                <w:sz w:val="24"/>
                <w:szCs w:val="24"/>
                <w:highlight w:val="none"/>
              </w:rPr>
            </w:pPr>
            <w:r>
              <w:rPr>
                <w:color w:val="auto"/>
                <w:sz w:val="24"/>
                <w:szCs w:val="24"/>
                <w:highlight w:val="none"/>
              </w:rPr>
              <w:t xml:space="preserve"> 项目</w:t>
            </w:r>
          </w:p>
        </w:tc>
        <w:tc>
          <w:tcPr>
            <w:tcW w:w="856" w:type="dxa"/>
          </w:tcPr>
          <w:p w14:paraId="3C2D0581">
            <w:pPr>
              <w:pStyle w:val="8"/>
              <w:spacing w:line="440" w:lineRule="exact"/>
              <w:jc w:val="both"/>
              <w:rPr>
                <w:rFonts w:hint="default"/>
                <w:color w:val="auto"/>
                <w:sz w:val="24"/>
                <w:szCs w:val="24"/>
                <w:highlight w:val="none"/>
              </w:rPr>
            </w:pPr>
            <w:r>
              <w:rPr>
                <w:color w:val="auto"/>
                <w:sz w:val="24"/>
                <w:szCs w:val="24"/>
                <w:highlight w:val="none"/>
              </w:rPr>
              <w:t xml:space="preserve"> 分值</w:t>
            </w:r>
          </w:p>
        </w:tc>
        <w:tc>
          <w:tcPr>
            <w:tcW w:w="7674" w:type="dxa"/>
          </w:tcPr>
          <w:p w14:paraId="17DA8DC6">
            <w:pPr>
              <w:pStyle w:val="8"/>
              <w:spacing w:line="440" w:lineRule="exact"/>
              <w:jc w:val="both"/>
              <w:rPr>
                <w:rFonts w:hint="default"/>
                <w:color w:val="auto"/>
                <w:sz w:val="24"/>
                <w:szCs w:val="24"/>
                <w:highlight w:val="none"/>
              </w:rPr>
            </w:pPr>
            <w:r>
              <w:rPr>
                <w:color w:val="auto"/>
                <w:sz w:val="24"/>
                <w:szCs w:val="24"/>
                <w:highlight w:val="none"/>
              </w:rPr>
              <w:t xml:space="preserve"> 描述</w:t>
            </w:r>
          </w:p>
        </w:tc>
      </w:tr>
      <w:tr w14:paraId="5D28E0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513" w:hRule="atLeast"/>
        </w:trPr>
        <w:tc>
          <w:tcPr>
            <w:tcW w:w="1101" w:type="dxa"/>
            <w:shd w:val="clear" w:color="auto" w:fill="auto"/>
            <w:vAlign w:val="top"/>
          </w:tcPr>
          <w:p w14:paraId="33CF8BB9">
            <w:pPr>
              <w:pStyle w:val="8"/>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Theme="minorHAnsi" w:hAnsiTheme="minorHAnsi" w:eastAsiaTheme="minorEastAsia" w:cstheme="minorBidi"/>
                <w:color w:val="auto"/>
                <w:highlight w:val="none"/>
                <w:lang w:val="en-US" w:eastAsia="zh-Hans"/>
              </w:rPr>
            </w:pPr>
            <w:r>
              <w:rPr>
                <w:rFonts w:hint="eastAsia"/>
                <w:color w:val="auto"/>
                <w:sz w:val="24"/>
                <w:szCs w:val="24"/>
                <w:highlight w:val="none"/>
                <w:lang w:val="en-US" w:eastAsia="zh-CN"/>
              </w:rPr>
              <w:t>1.</w:t>
            </w:r>
            <w:r>
              <w:rPr>
                <w:color w:val="auto"/>
                <w:sz w:val="24"/>
                <w:szCs w:val="24"/>
                <w:highlight w:val="none"/>
              </w:rPr>
              <w:t>业绩</w:t>
            </w:r>
          </w:p>
        </w:tc>
        <w:tc>
          <w:tcPr>
            <w:tcW w:w="856" w:type="dxa"/>
          </w:tcPr>
          <w:p w14:paraId="22FB139A">
            <w:pPr>
              <w:pStyle w:val="8"/>
              <w:spacing w:line="440" w:lineRule="exact"/>
              <w:jc w:val="right"/>
              <w:rPr>
                <w:rFonts w:hint="default"/>
                <w:color w:val="auto"/>
                <w:sz w:val="24"/>
                <w:szCs w:val="24"/>
                <w:highlight w:val="none"/>
              </w:rPr>
            </w:pPr>
            <w:r>
              <w:rPr>
                <w:rFonts w:hint="eastAsia"/>
                <w:color w:val="auto"/>
                <w:sz w:val="24"/>
                <w:szCs w:val="24"/>
                <w:highlight w:val="none"/>
                <w:lang w:val="en-US" w:eastAsia="zh-CN"/>
              </w:rPr>
              <w:t>3</w:t>
            </w:r>
            <w:r>
              <w:rPr>
                <w:color w:val="auto"/>
                <w:sz w:val="24"/>
                <w:szCs w:val="24"/>
                <w:highlight w:val="none"/>
              </w:rPr>
              <w:t>.00</w:t>
            </w:r>
          </w:p>
        </w:tc>
        <w:tc>
          <w:tcPr>
            <w:tcW w:w="7674" w:type="dxa"/>
            <w:shd w:val="clear" w:color="auto" w:fill="auto"/>
            <w:vAlign w:val="top"/>
          </w:tcPr>
          <w:p w14:paraId="2190629C">
            <w:pPr>
              <w:pStyle w:val="8"/>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Theme="minorHAnsi" w:hAnsiTheme="minorHAnsi" w:eastAsiaTheme="minorEastAsia" w:cstheme="minorBidi"/>
                <w:color w:val="auto"/>
                <w:highlight w:val="none"/>
                <w:lang w:val="en-US" w:eastAsia="zh-Hans"/>
              </w:rPr>
            </w:pPr>
            <w:r>
              <w:rPr>
                <w:color w:val="auto"/>
                <w:sz w:val="24"/>
                <w:szCs w:val="24"/>
                <w:highlight w:val="none"/>
              </w:rPr>
              <w:t>根据投标人自202</w:t>
            </w:r>
            <w:r>
              <w:rPr>
                <w:rFonts w:hint="eastAsia"/>
                <w:color w:val="auto"/>
                <w:sz w:val="24"/>
                <w:szCs w:val="24"/>
                <w:highlight w:val="none"/>
                <w:lang w:val="en-US" w:eastAsia="zh-CN"/>
              </w:rPr>
              <w:t>3</w:t>
            </w:r>
            <w:r>
              <w:rPr>
                <w:color w:val="auto"/>
                <w:sz w:val="24"/>
                <w:szCs w:val="24"/>
                <w:highlight w:val="none"/>
              </w:rPr>
              <w:t>年1月1日（日期以合同签订日期为准）以来至投标截止时间止，</w:t>
            </w:r>
            <w:r>
              <w:rPr>
                <w:rFonts w:hint="eastAsia"/>
                <w:color w:val="auto"/>
                <w:sz w:val="24"/>
                <w:szCs w:val="24"/>
                <w:highlight w:val="none"/>
                <w:lang w:val="en-US" w:eastAsia="zh-CN"/>
              </w:rPr>
              <w:t>投标人</w:t>
            </w:r>
            <w:r>
              <w:rPr>
                <w:color w:val="auto"/>
                <w:sz w:val="24"/>
                <w:szCs w:val="24"/>
                <w:highlight w:val="none"/>
              </w:rPr>
              <w:t>独立承接食材配送</w:t>
            </w:r>
            <w:r>
              <w:rPr>
                <w:rFonts w:hint="eastAsia"/>
                <w:color w:val="auto"/>
                <w:sz w:val="24"/>
                <w:szCs w:val="24"/>
                <w:highlight w:val="none"/>
                <w:lang w:val="en-US" w:eastAsia="zh-CN"/>
              </w:rPr>
              <w:t>同</w:t>
            </w:r>
            <w:r>
              <w:rPr>
                <w:color w:val="auto"/>
                <w:sz w:val="24"/>
                <w:szCs w:val="24"/>
                <w:highlight w:val="none"/>
              </w:rPr>
              <w:t>类业绩</w:t>
            </w:r>
            <w:r>
              <w:rPr>
                <w:rFonts w:hint="eastAsia"/>
                <w:color w:val="auto"/>
                <w:sz w:val="24"/>
                <w:szCs w:val="24"/>
                <w:highlight w:val="none"/>
                <w:lang w:val="en-US" w:eastAsia="zh-CN"/>
              </w:rPr>
              <w:t>情况</w:t>
            </w:r>
            <w:r>
              <w:rPr>
                <w:color w:val="auto"/>
                <w:sz w:val="24"/>
                <w:szCs w:val="24"/>
                <w:highlight w:val="none"/>
              </w:rPr>
              <w:t>进行评议。每提供一个</w:t>
            </w:r>
            <w:r>
              <w:rPr>
                <w:rFonts w:hint="eastAsia"/>
                <w:color w:val="auto"/>
                <w:sz w:val="24"/>
                <w:szCs w:val="24"/>
                <w:highlight w:val="none"/>
                <w:lang w:val="en-US" w:eastAsia="zh-CN"/>
              </w:rPr>
              <w:t>有效</w:t>
            </w:r>
            <w:r>
              <w:rPr>
                <w:color w:val="auto"/>
                <w:sz w:val="24"/>
                <w:szCs w:val="24"/>
                <w:highlight w:val="none"/>
              </w:rPr>
              <w:t>业绩的得</w:t>
            </w:r>
            <w:r>
              <w:rPr>
                <w:rFonts w:hint="eastAsia"/>
                <w:color w:val="auto"/>
                <w:sz w:val="24"/>
                <w:szCs w:val="24"/>
                <w:highlight w:val="none"/>
                <w:lang w:val="en-US" w:eastAsia="zh-CN"/>
              </w:rPr>
              <w:t>0.5</w:t>
            </w:r>
            <w:r>
              <w:rPr>
                <w:color w:val="auto"/>
                <w:sz w:val="24"/>
                <w:szCs w:val="24"/>
                <w:highlight w:val="none"/>
              </w:rPr>
              <w:t>分，满分</w:t>
            </w:r>
            <w:r>
              <w:rPr>
                <w:rFonts w:hint="eastAsia"/>
                <w:color w:val="auto"/>
                <w:sz w:val="24"/>
                <w:szCs w:val="24"/>
                <w:highlight w:val="none"/>
                <w:lang w:val="en-US" w:eastAsia="zh-CN"/>
              </w:rPr>
              <w:t>3</w:t>
            </w:r>
            <w:r>
              <w:rPr>
                <w:color w:val="auto"/>
                <w:sz w:val="24"/>
                <w:szCs w:val="24"/>
                <w:highlight w:val="none"/>
              </w:rPr>
              <w:t>分。【注：投标人须提供中标（成交）公告（并提供相关网站中标公告的网页截图及其网址）、中标（成交）通知书、采购合同文本复印件</w:t>
            </w:r>
            <w:r>
              <w:rPr>
                <w:rFonts w:hint="eastAsia"/>
                <w:color w:val="auto"/>
                <w:sz w:val="24"/>
                <w:szCs w:val="24"/>
                <w:highlight w:val="none"/>
                <w:lang w:val="en-US" w:eastAsia="zh-CN"/>
              </w:rPr>
              <w:t>以</w:t>
            </w:r>
            <w:r>
              <w:rPr>
                <w:color w:val="auto"/>
                <w:sz w:val="24"/>
                <w:szCs w:val="24"/>
                <w:highlight w:val="none"/>
              </w:rPr>
              <w:t>及</w:t>
            </w:r>
            <w:r>
              <w:rPr>
                <w:rFonts w:hint="eastAsia"/>
                <w:color w:val="auto"/>
                <w:sz w:val="24"/>
                <w:szCs w:val="24"/>
                <w:highlight w:val="none"/>
                <w:lang w:val="en-US" w:eastAsia="zh-CN"/>
              </w:rPr>
              <w:t>加</w:t>
            </w:r>
            <w:r>
              <w:rPr>
                <w:color w:val="auto"/>
                <w:sz w:val="24"/>
                <w:szCs w:val="24"/>
                <w:highlight w:val="none"/>
              </w:rPr>
              <w:t>盖采购人公章验收合格的相关证明</w:t>
            </w:r>
            <w:r>
              <w:rPr>
                <w:rFonts w:hint="eastAsia"/>
                <w:color w:val="auto"/>
                <w:sz w:val="24"/>
                <w:szCs w:val="24"/>
                <w:highlight w:val="none"/>
                <w:lang w:val="en-US" w:eastAsia="zh-CN"/>
              </w:rPr>
              <w:t>材料</w:t>
            </w:r>
            <w:r>
              <w:rPr>
                <w:color w:val="auto"/>
                <w:sz w:val="24"/>
                <w:szCs w:val="24"/>
                <w:highlight w:val="none"/>
              </w:rPr>
              <w:t>复印件。每个有效业绩均需完整提供上述证明材料的复印件</w:t>
            </w:r>
            <w:r>
              <w:rPr>
                <w:rFonts w:hint="eastAsia"/>
                <w:color w:val="auto"/>
                <w:sz w:val="24"/>
                <w:szCs w:val="24"/>
                <w:highlight w:val="none"/>
                <w:lang w:val="en-US" w:eastAsia="zh-CN"/>
              </w:rPr>
              <w:t>并加盖公章</w:t>
            </w:r>
            <w:r>
              <w:rPr>
                <w:color w:val="auto"/>
                <w:sz w:val="24"/>
                <w:szCs w:val="24"/>
                <w:highlight w:val="none"/>
              </w:rPr>
              <w:t>，未完整提供上述证明材料复印件的不得分。</w:t>
            </w:r>
          </w:p>
        </w:tc>
      </w:tr>
      <w:tr w14:paraId="01CF64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15" w:hRule="atLeast"/>
        </w:trPr>
        <w:tc>
          <w:tcPr>
            <w:tcW w:w="1101" w:type="dxa"/>
            <w:shd w:val="clear" w:color="auto" w:fill="auto"/>
            <w:vAlign w:val="top"/>
          </w:tcPr>
          <w:p w14:paraId="413EFF27">
            <w:pPr>
              <w:pStyle w:val="8"/>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2.</w:t>
            </w:r>
            <w:r>
              <w:rPr>
                <w:color w:val="auto"/>
                <w:sz w:val="24"/>
                <w:szCs w:val="24"/>
                <w:highlight w:val="none"/>
              </w:rPr>
              <w:t>满意度评价</w:t>
            </w:r>
          </w:p>
        </w:tc>
        <w:tc>
          <w:tcPr>
            <w:tcW w:w="856" w:type="dxa"/>
          </w:tcPr>
          <w:p w14:paraId="73ADC916">
            <w:pPr>
              <w:pStyle w:val="8"/>
              <w:keepNext w:val="0"/>
              <w:keepLines w:val="0"/>
              <w:pageBreakBefore w:val="0"/>
              <w:widowControl/>
              <w:kinsoku/>
              <w:wordWrap/>
              <w:overflowPunct/>
              <w:topLinePunct w:val="0"/>
              <w:autoSpaceDE/>
              <w:autoSpaceDN/>
              <w:bidi w:val="0"/>
              <w:adjustRightInd/>
              <w:snapToGrid/>
              <w:spacing w:line="360" w:lineRule="auto"/>
              <w:jc w:val="right"/>
              <w:textAlignment w:val="auto"/>
              <w:rPr>
                <w:rFonts w:hint="default"/>
                <w:color w:val="auto"/>
                <w:sz w:val="24"/>
                <w:szCs w:val="24"/>
                <w:highlight w:val="none"/>
                <w:lang w:val="en-US" w:eastAsia="zh-CN"/>
              </w:rPr>
            </w:pPr>
            <w:r>
              <w:rPr>
                <w:rFonts w:hint="eastAsia"/>
                <w:color w:val="auto"/>
                <w:sz w:val="24"/>
                <w:szCs w:val="24"/>
                <w:highlight w:val="none"/>
                <w:lang w:val="en-US" w:eastAsia="zh-CN"/>
              </w:rPr>
              <w:t>3.00</w:t>
            </w:r>
          </w:p>
        </w:tc>
        <w:tc>
          <w:tcPr>
            <w:tcW w:w="7674" w:type="dxa"/>
            <w:shd w:val="clear" w:color="auto" w:fill="auto"/>
            <w:vAlign w:val="top"/>
          </w:tcPr>
          <w:p w14:paraId="5D5F4AD4">
            <w:pPr>
              <w:pStyle w:val="8"/>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Theme="minorEastAsia" w:cstheme="minorBidi"/>
                <w:color w:val="auto"/>
                <w:highlight w:val="none"/>
                <w:lang w:val="en-US" w:eastAsia="zh-Hans"/>
              </w:rPr>
            </w:pPr>
            <w:r>
              <w:rPr>
                <w:color w:val="auto"/>
                <w:sz w:val="24"/>
                <w:szCs w:val="24"/>
                <w:highlight w:val="none"/>
              </w:rPr>
              <w:t>根据投标人自202</w:t>
            </w:r>
            <w:r>
              <w:rPr>
                <w:rFonts w:hint="eastAsia"/>
                <w:color w:val="auto"/>
                <w:sz w:val="24"/>
                <w:szCs w:val="24"/>
                <w:highlight w:val="none"/>
                <w:lang w:val="en-US" w:eastAsia="zh-CN"/>
              </w:rPr>
              <w:t>3</w:t>
            </w:r>
            <w:r>
              <w:rPr>
                <w:color w:val="auto"/>
                <w:sz w:val="24"/>
                <w:szCs w:val="24"/>
                <w:highlight w:val="none"/>
              </w:rPr>
              <w:t>年1月1日（日期以合同签订日期为准）以来至投标截止时间止，由采购人对投标人</w:t>
            </w:r>
            <w:r>
              <w:rPr>
                <w:rFonts w:hint="eastAsia"/>
                <w:color w:val="auto"/>
                <w:sz w:val="24"/>
                <w:szCs w:val="24"/>
                <w:highlight w:val="none"/>
                <w:lang w:val="en-US" w:eastAsia="zh-CN"/>
              </w:rPr>
              <w:t>完成项目的</w:t>
            </w:r>
            <w:r>
              <w:rPr>
                <w:color w:val="auto"/>
                <w:sz w:val="24"/>
                <w:szCs w:val="24"/>
                <w:highlight w:val="none"/>
              </w:rPr>
              <w:t>满意度进行评议。每提供一份满意度证明材料(如满意评价为“好”“优秀”“满意”“90分以上或“A”等类似表述均可)得</w:t>
            </w:r>
            <w:r>
              <w:rPr>
                <w:rFonts w:hint="eastAsia"/>
                <w:color w:val="auto"/>
                <w:sz w:val="24"/>
                <w:szCs w:val="24"/>
                <w:highlight w:val="none"/>
                <w:lang w:val="en-US" w:eastAsia="zh-CN"/>
              </w:rPr>
              <w:t>0.5</w:t>
            </w:r>
            <w:r>
              <w:rPr>
                <w:color w:val="auto"/>
                <w:sz w:val="24"/>
                <w:szCs w:val="24"/>
                <w:highlight w:val="none"/>
              </w:rPr>
              <w:t>分</w:t>
            </w:r>
            <w:r>
              <w:rPr>
                <w:rFonts w:hint="eastAsia"/>
                <w:color w:val="auto"/>
                <w:sz w:val="24"/>
                <w:szCs w:val="24"/>
                <w:highlight w:val="none"/>
              </w:rPr>
              <w:t>，</w:t>
            </w:r>
            <w:r>
              <w:rPr>
                <w:color w:val="auto"/>
                <w:sz w:val="24"/>
                <w:szCs w:val="24"/>
                <w:highlight w:val="none"/>
              </w:rPr>
              <w:t>满分</w:t>
            </w:r>
            <w:r>
              <w:rPr>
                <w:rFonts w:hint="eastAsia"/>
                <w:color w:val="auto"/>
                <w:sz w:val="24"/>
                <w:szCs w:val="24"/>
                <w:highlight w:val="none"/>
                <w:lang w:val="en-US" w:eastAsia="zh-CN"/>
              </w:rPr>
              <w:t>3</w:t>
            </w:r>
            <w:r>
              <w:rPr>
                <w:color w:val="auto"/>
                <w:sz w:val="24"/>
                <w:szCs w:val="24"/>
                <w:highlight w:val="none"/>
              </w:rPr>
              <w:t>分。未提供不得分【需提供合同复印件并加盖投标人单位公章、采购单位出具的满意度意见证明加盖采购单位公章。未完整提供上述证明材料不得分。】</w:t>
            </w:r>
          </w:p>
        </w:tc>
      </w:tr>
      <w:tr w14:paraId="65B098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01" w:type="dxa"/>
          </w:tcPr>
          <w:p w14:paraId="1E16BF2E">
            <w:pPr>
              <w:pStyle w:val="8"/>
              <w:spacing w:line="440" w:lineRule="exact"/>
              <w:rPr>
                <w:rFonts w:hint="eastAsia" w:eastAsiaTheme="minorEastAsia"/>
                <w:color w:val="auto"/>
                <w:sz w:val="24"/>
                <w:szCs w:val="24"/>
                <w:highlight w:val="none"/>
                <w:lang w:val="en-US" w:eastAsia="zh-CN"/>
              </w:rPr>
            </w:pPr>
            <w:r>
              <w:rPr>
                <w:rFonts w:hint="eastAsia"/>
                <w:color w:val="auto"/>
                <w:sz w:val="24"/>
                <w:szCs w:val="24"/>
                <w:highlight w:val="none"/>
                <w:lang w:val="en-US" w:eastAsia="zh-CN"/>
              </w:rPr>
              <w:t>3.</w:t>
            </w:r>
            <w:r>
              <w:rPr>
                <w:color w:val="auto"/>
                <w:sz w:val="24"/>
                <w:szCs w:val="24"/>
                <w:highlight w:val="none"/>
              </w:rPr>
              <w:t>售后服务</w:t>
            </w:r>
            <w:r>
              <w:rPr>
                <w:rFonts w:hint="eastAsia"/>
                <w:color w:val="auto"/>
                <w:sz w:val="24"/>
                <w:szCs w:val="24"/>
                <w:highlight w:val="none"/>
                <w:lang w:val="en-US" w:eastAsia="zh-CN"/>
              </w:rPr>
              <w:t>方案</w:t>
            </w:r>
          </w:p>
        </w:tc>
        <w:tc>
          <w:tcPr>
            <w:tcW w:w="856" w:type="dxa"/>
          </w:tcPr>
          <w:p w14:paraId="587968A7">
            <w:pPr>
              <w:pStyle w:val="8"/>
              <w:spacing w:line="440" w:lineRule="exact"/>
              <w:jc w:val="right"/>
              <w:rPr>
                <w:rFonts w:hint="default"/>
                <w:color w:val="auto"/>
                <w:sz w:val="24"/>
                <w:szCs w:val="24"/>
                <w:highlight w:val="none"/>
              </w:rPr>
            </w:pPr>
            <w:r>
              <w:rPr>
                <w:rFonts w:hint="eastAsia"/>
                <w:color w:val="auto"/>
                <w:sz w:val="24"/>
                <w:szCs w:val="24"/>
                <w:highlight w:val="none"/>
                <w:lang w:val="en-US" w:eastAsia="zh-CN"/>
              </w:rPr>
              <w:t>3</w:t>
            </w:r>
            <w:r>
              <w:rPr>
                <w:color w:val="auto"/>
                <w:sz w:val="24"/>
                <w:szCs w:val="24"/>
                <w:highlight w:val="none"/>
              </w:rPr>
              <w:t>.00</w:t>
            </w:r>
          </w:p>
        </w:tc>
        <w:tc>
          <w:tcPr>
            <w:tcW w:w="7674" w:type="dxa"/>
          </w:tcPr>
          <w:p w14:paraId="69A40F2C">
            <w:pPr>
              <w:pStyle w:val="8"/>
              <w:spacing w:line="440" w:lineRule="exact"/>
              <w:rPr>
                <w:rFonts w:hint="default"/>
                <w:color w:val="auto"/>
                <w:sz w:val="24"/>
                <w:szCs w:val="24"/>
                <w:highlight w:val="none"/>
              </w:rPr>
            </w:pPr>
            <w:r>
              <w:rPr>
                <w:color w:val="auto"/>
                <w:sz w:val="24"/>
                <w:szCs w:val="24"/>
                <w:highlight w:val="none"/>
              </w:rPr>
              <w:t>根据</w:t>
            </w:r>
            <w:r>
              <w:rPr>
                <w:rFonts w:hint="eastAsia"/>
                <w:color w:val="auto"/>
                <w:sz w:val="24"/>
                <w:szCs w:val="24"/>
                <w:highlight w:val="none"/>
                <w:lang w:eastAsia="zh-CN"/>
              </w:rPr>
              <w:t>投标人</w:t>
            </w:r>
            <w:r>
              <w:rPr>
                <w:color w:val="auto"/>
                <w:sz w:val="24"/>
                <w:szCs w:val="24"/>
                <w:highlight w:val="none"/>
              </w:rPr>
              <w:t>提供的售后服务方案，包含但不限于：售后服务内容、售后服务响应时间，售后问题处理方式、售后问题应急措施等，由评审小组进行评分：方案完整、详细、具体、可行性强的，得</w:t>
            </w:r>
            <w:r>
              <w:rPr>
                <w:rFonts w:hint="eastAsia"/>
                <w:color w:val="auto"/>
                <w:sz w:val="24"/>
                <w:szCs w:val="24"/>
                <w:highlight w:val="none"/>
                <w:lang w:val="en-US" w:eastAsia="zh-CN"/>
              </w:rPr>
              <w:t>3</w:t>
            </w:r>
            <w:r>
              <w:rPr>
                <w:color w:val="auto"/>
                <w:sz w:val="24"/>
                <w:szCs w:val="24"/>
                <w:highlight w:val="none"/>
              </w:rPr>
              <w:t>.0分；方案不够周全、详细、具体、可行性较强的，得</w:t>
            </w:r>
            <w:r>
              <w:rPr>
                <w:rFonts w:hint="eastAsia"/>
                <w:color w:val="auto"/>
                <w:sz w:val="24"/>
                <w:szCs w:val="24"/>
                <w:highlight w:val="none"/>
                <w:lang w:val="en-US" w:eastAsia="zh-CN"/>
              </w:rPr>
              <w:t>2</w:t>
            </w:r>
            <w:r>
              <w:rPr>
                <w:color w:val="auto"/>
                <w:sz w:val="24"/>
                <w:szCs w:val="24"/>
                <w:highlight w:val="none"/>
              </w:rPr>
              <w:t>.</w:t>
            </w:r>
            <w:r>
              <w:rPr>
                <w:rFonts w:hint="eastAsia"/>
                <w:color w:val="auto"/>
                <w:sz w:val="24"/>
                <w:szCs w:val="24"/>
                <w:highlight w:val="none"/>
                <w:lang w:val="en-US" w:eastAsia="zh-CN"/>
              </w:rPr>
              <w:t>8</w:t>
            </w:r>
            <w:r>
              <w:rPr>
                <w:color w:val="auto"/>
                <w:sz w:val="24"/>
                <w:szCs w:val="24"/>
                <w:highlight w:val="none"/>
              </w:rPr>
              <w:t>分；方案不够周全、详细、具体、可行性一般，得</w:t>
            </w:r>
            <w:r>
              <w:rPr>
                <w:rFonts w:hint="eastAsia"/>
                <w:color w:val="auto"/>
                <w:sz w:val="24"/>
                <w:szCs w:val="24"/>
                <w:highlight w:val="none"/>
                <w:lang w:val="en-US" w:eastAsia="zh-CN"/>
              </w:rPr>
              <w:t>2</w:t>
            </w:r>
            <w:r>
              <w:rPr>
                <w:color w:val="auto"/>
                <w:sz w:val="24"/>
                <w:szCs w:val="24"/>
                <w:highlight w:val="none"/>
                <w:lang w:eastAsia="zh-CN"/>
              </w:rPr>
              <w:t>.</w:t>
            </w:r>
            <w:r>
              <w:rPr>
                <w:rFonts w:hint="eastAsia"/>
                <w:color w:val="auto"/>
                <w:sz w:val="24"/>
                <w:szCs w:val="24"/>
                <w:highlight w:val="none"/>
                <w:lang w:val="en-US" w:eastAsia="zh-CN"/>
              </w:rPr>
              <w:t>6</w:t>
            </w:r>
            <w:r>
              <w:rPr>
                <w:color w:val="auto"/>
                <w:sz w:val="24"/>
                <w:szCs w:val="24"/>
                <w:highlight w:val="none"/>
              </w:rPr>
              <w:t>分；未提供的不得分。</w:t>
            </w:r>
          </w:p>
        </w:tc>
      </w:tr>
      <w:tr w14:paraId="4FCA61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01" w:type="dxa"/>
          </w:tcPr>
          <w:p w14:paraId="7AC63EA6">
            <w:pPr>
              <w:pStyle w:val="8"/>
              <w:spacing w:line="440" w:lineRule="exact"/>
              <w:rPr>
                <w:color w:val="auto"/>
                <w:sz w:val="24"/>
                <w:szCs w:val="24"/>
                <w:highlight w:val="none"/>
              </w:rPr>
            </w:pPr>
            <w:r>
              <w:rPr>
                <w:rFonts w:hint="eastAsia"/>
                <w:color w:val="auto"/>
                <w:sz w:val="24"/>
                <w:szCs w:val="24"/>
                <w:highlight w:val="none"/>
                <w:lang w:val="en-US" w:eastAsia="zh-CN"/>
              </w:rPr>
              <w:t>4.</w:t>
            </w:r>
            <w:r>
              <w:rPr>
                <w:color w:val="auto"/>
                <w:sz w:val="24"/>
                <w:szCs w:val="24"/>
                <w:highlight w:val="none"/>
              </w:rPr>
              <w:t>特殊情况时间承诺</w:t>
            </w:r>
          </w:p>
        </w:tc>
        <w:tc>
          <w:tcPr>
            <w:tcW w:w="856" w:type="dxa"/>
          </w:tcPr>
          <w:p w14:paraId="09DEE25A">
            <w:pPr>
              <w:pStyle w:val="8"/>
              <w:spacing w:line="440" w:lineRule="exact"/>
              <w:rPr>
                <w:rFonts w:hint="default"/>
                <w:color w:val="auto"/>
                <w:sz w:val="24"/>
                <w:szCs w:val="24"/>
                <w:highlight w:val="none"/>
                <w:lang w:val="en-US" w:eastAsia="zh-CN"/>
              </w:rPr>
            </w:pPr>
            <w:r>
              <w:rPr>
                <w:rFonts w:hint="eastAsia"/>
                <w:color w:val="auto"/>
                <w:sz w:val="24"/>
                <w:szCs w:val="24"/>
                <w:highlight w:val="none"/>
                <w:lang w:val="en-US" w:eastAsia="zh-CN"/>
              </w:rPr>
              <w:t>3.00</w:t>
            </w:r>
          </w:p>
        </w:tc>
        <w:tc>
          <w:tcPr>
            <w:tcW w:w="7674" w:type="dxa"/>
            <w:shd w:val="clear" w:color="auto" w:fill="auto"/>
            <w:vAlign w:val="top"/>
          </w:tcPr>
          <w:p w14:paraId="4C75FE0A">
            <w:pPr>
              <w:pStyle w:val="8"/>
              <w:spacing w:line="440" w:lineRule="exact"/>
              <w:rPr>
                <w:rFonts w:hint="default"/>
                <w:color w:val="auto"/>
                <w:sz w:val="24"/>
                <w:szCs w:val="24"/>
                <w:highlight w:val="none"/>
                <w:lang w:val="en-US" w:eastAsia="zh-Hans"/>
              </w:rPr>
            </w:pPr>
            <w:r>
              <w:rPr>
                <w:color w:val="auto"/>
                <w:sz w:val="24"/>
                <w:szCs w:val="24"/>
                <w:highlight w:val="none"/>
              </w:rPr>
              <w:t>投标人在采购人遇特殊情况时（如临时加送）需临时加送食材的配送时间，</w:t>
            </w:r>
            <w:r>
              <w:rPr>
                <w:rFonts w:hint="eastAsia"/>
                <w:color w:val="auto"/>
                <w:sz w:val="24"/>
                <w:szCs w:val="24"/>
                <w:highlight w:val="none"/>
                <w:lang w:val="en-US" w:eastAsia="zh-CN"/>
              </w:rPr>
              <w:t>6</w:t>
            </w:r>
            <w:r>
              <w:rPr>
                <w:color w:val="auto"/>
                <w:sz w:val="24"/>
                <w:szCs w:val="24"/>
                <w:highlight w:val="none"/>
              </w:rPr>
              <w:t>0分钟（含）内得</w:t>
            </w:r>
            <w:r>
              <w:rPr>
                <w:rFonts w:hint="eastAsia"/>
                <w:color w:val="auto"/>
                <w:sz w:val="24"/>
                <w:szCs w:val="24"/>
                <w:highlight w:val="none"/>
                <w:lang w:val="en-US" w:eastAsia="zh-CN"/>
              </w:rPr>
              <w:t>3</w:t>
            </w:r>
            <w:r>
              <w:rPr>
                <w:color w:val="auto"/>
                <w:sz w:val="24"/>
                <w:szCs w:val="24"/>
                <w:highlight w:val="none"/>
              </w:rPr>
              <w:t>分，</w:t>
            </w:r>
            <w:r>
              <w:rPr>
                <w:rFonts w:hint="eastAsia"/>
                <w:color w:val="auto"/>
                <w:sz w:val="24"/>
                <w:szCs w:val="24"/>
                <w:highlight w:val="none"/>
                <w:lang w:val="en-US" w:eastAsia="zh-CN"/>
              </w:rPr>
              <w:t>61</w:t>
            </w:r>
            <w:r>
              <w:rPr>
                <w:color w:val="auto"/>
                <w:sz w:val="24"/>
                <w:szCs w:val="24"/>
                <w:highlight w:val="none"/>
              </w:rPr>
              <w:t>-</w:t>
            </w:r>
            <w:r>
              <w:rPr>
                <w:rFonts w:hint="eastAsia"/>
                <w:color w:val="auto"/>
                <w:sz w:val="24"/>
                <w:szCs w:val="24"/>
                <w:highlight w:val="none"/>
                <w:lang w:val="en-US" w:eastAsia="zh-CN"/>
              </w:rPr>
              <w:t>90</w:t>
            </w:r>
            <w:r>
              <w:rPr>
                <w:color w:val="auto"/>
                <w:sz w:val="24"/>
                <w:szCs w:val="24"/>
                <w:highlight w:val="none"/>
              </w:rPr>
              <w:t>（含）分钟内得</w:t>
            </w:r>
            <w:r>
              <w:rPr>
                <w:rFonts w:hint="eastAsia"/>
                <w:color w:val="auto"/>
                <w:sz w:val="24"/>
                <w:szCs w:val="24"/>
                <w:highlight w:val="none"/>
                <w:lang w:val="en-US" w:eastAsia="zh-CN"/>
              </w:rPr>
              <w:t>2</w:t>
            </w:r>
            <w:r>
              <w:rPr>
                <w:color w:val="auto"/>
                <w:sz w:val="24"/>
                <w:szCs w:val="24"/>
                <w:highlight w:val="none"/>
              </w:rPr>
              <w:t>分，</w:t>
            </w:r>
            <w:r>
              <w:rPr>
                <w:rFonts w:hint="eastAsia"/>
                <w:color w:val="auto"/>
                <w:sz w:val="24"/>
                <w:szCs w:val="24"/>
                <w:highlight w:val="none"/>
                <w:lang w:val="en-US" w:eastAsia="zh-CN"/>
              </w:rPr>
              <w:t>91</w:t>
            </w:r>
            <w:r>
              <w:rPr>
                <w:color w:val="auto"/>
                <w:sz w:val="24"/>
                <w:szCs w:val="24"/>
                <w:highlight w:val="none"/>
              </w:rPr>
              <w:t>-</w:t>
            </w:r>
            <w:r>
              <w:rPr>
                <w:rFonts w:hint="eastAsia"/>
                <w:color w:val="auto"/>
                <w:sz w:val="24"/>
                <w:szCs w:val="24"/>
                <w:highlight w:val="none"/>
                <w:lang w:val="en-US" w:eastAsia="zh-CN"/>
              </w:rPr>
              <w:t>12</w:t>
            </w:r>
            <w:r>
              <w:rPr>
                <w:color w:val="auto"/>
                <w:sz w:val="24"/>
                <w:szCs w:val="24"/>
                <w:highlight w:val="none"/>
              </w:rPr>
              <w:t>0（含）分钟内得</w:t>
            </w:r>
            <w:r>
              <w:rPr>
                <w:rFonts w:hint="eastAsia"/>
                <w:color w:val="auto"/>
                <w:sz w:val="24"/>
                <w:szCs w:val="24"/>
                <w:highlight w:val="none"/>
                <w:lang w:val="en-US" w:eastAsia="zh-CN"/>
              </w:rPr>
              <w:t>1</w:t>
            </w:r>
            <w:r>
              <w:rPr>
                <w:color w:val="auto"/>
                <w:sz w:val="24"/>
                <w:szCs w:val="24"/>
                <w:highlight w:val="none"/>
              </w:rPr>
              <w:t>分，其他不得分。提供服务点到采购使用单位的百度或高德等主流地图截图作为佐证材料。</w:t>
            </w:r>
          </w:p>
        </w:tc>
      </w:tr>
    </w:tbl>
    <w:p w14:paraId="44543996">
      <w:pPr>
        <w:pStyle w:val="8"/>
        <w:jc w:val="both"/>
        <w:rPr>
          <w:rFonts w:hint="eastAsia" w:asciiTheme="minorEastAsia" w:hAnsiTheme="minorEastAsia" w:eastAsiaTheme="minorEastAsia" w:cstheme="minorEastAsia"/>
          <w:color w:val="auto"/>
          <w:highlight w:val="none"/>
        </w:rPr>
      </w:pPr>
    </w:p>
    <w:p w14:paraId="0F9F826B">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异常低价审查</w:t>
      </w:r>
    </w:p>
    <w:tbl>
      <w:tblPr>
        <w:tblStyle w:val="5"/>
        <w:tblW w:w="972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39"/>
        <w:gridCol w:w="7683"/>
      </w:tblGrid>
      <w:tr w14:paraId="02AEE6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39" w:type="dxa"/>
          </w:tcPr>
          <w:p w14:paraId="7F13A86D">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w:t>
            </w:r>
          </w:p>
        </w:tc>
        <w:tc>
          <w:tcPr>
            <w:tcW w:w="7683" w:type="dxa"/>
          </w:tcPr>
          <w:p w14:paraId="04737016">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描述</w:t>
            </w:r>
          </w:p>
        </w:tc>
      </w:tr>
      <w:tr w14:paraId="39B91F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39" w:type="dxa"/>
          </w:tcPr>
          <w:p w14:paraId="676F388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异常低价审查</w:t>
            </w:r>
          </w:p>
        </w:tc>
        <w:tc>
          <w:tcPr>
            <w:tcW w:w="7683" w:type="dxa"/>
          </w:tcPr>
          <w:p w14:paraId="7848038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根据《关于推动解决政府采购异常低价问题的通知》（财库〔2026〕2号）等相关规定，政府采购评审中出现下列情形之一的，评审委员会应当启动异常低价投标（响应）审查程序： （1）泰宁县教育局2026年学校食堂食材（含干货、生鲜）配送服务响应报价低于全部通过符合性审查供应商响应报价平均值50%的，即泰宁县教育局2026年学校食堂食材（含干货、生鲜）配送服务响应报价&lt;全部通过符合性审查供应商响应报价平均值×50%。 （2）泰宁县教育局2026年学校食堂食材（含干货、生鲜）配送服务响应报价低于通过符合性审查且报价次低供应商响应报价50%的，即泰宁县教育局2026年学校食堂食材（含干货、生鲜）配送服务响应报价&lt;通过符合性审查且报价次低供应商响应报价×50%。 （3）泰宁县教育局2026年学校食堂食材（含干货、生鲜）配送服务响应报价低于最高限价45%的，即泰宁县教育局2026年学校食堂食材（含干货、生鲜）配送服务响应报价&lt;最高限价×45%。 （4）其他评审委员会认为供应商报价过低（数量报价过高），有可能影响产品质量或者不能诚信履约的情形。 评审委员会启动异常低价投标（响应）审查后，应当要求相关供应商在评审现场合理的时间内提供书面说明及必要的证明材料，对投标（响应）价格作出解释。</w:t>
            </w:r>
          </w:p>
        </w:tc>
      </w:tr>
    </w:tbl>
    <w:p w14:paraId="2CAEBF81">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0E04502">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818CDD1">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CB77B69">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609F167D">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※除本章第6.3条第（3）款规定情形和落实政府采购政策需进行的价格扣除情形外，不能对投标人的投标报价进行任何调整。</w:t>
      </w:r>
    </w:p>
    <w:p w14:paraId="02D0D0F9">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（3）中标候选人排列规则顺序如下：</w:t>
      </w:r>
    </w:p>
    <w:p w14:paraId="4568452A">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a.按照评标总得分（FA）由高到低顺序排列。</w:t>
      </w:r>
    </w:p>
    <w:p w14:paraId="5A5D29A2">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b.评标总得分（FA）相同的，按照评标价（即价格扣除后的投标报价）由低到高顺序排列。</w:t>
      </w:r>
    </w:p>
    <w:p w14:paraId="7F780577">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c.评标总得分（FA）且评标价（即价格扣除后的投标报价）相同的并列。</w:t>
      </w:r>
    </w:p>
    <w:p w14:paraId="449EBA6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8、其他规定</w:t>
      </w:r>
    </w:p>
    <w:p w14:paraId="3668BC40">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8.1评标应全程保密且不得透露给任一投标人或与评标工作无关的人员。</w:t>
      </w:r>
    </w:p>
    <w:p w14:paraId="5A886F4B">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8.2评标将进行全程实时录音录像，录音录像资料随采购文件一并存档。</w:t>
      </w:r>
    </w:p>
    <w:p w14:paraId="5754EAF9">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8.3若投标人有任何试图干扰具体评标事务，影响评标委员会独立履行职责的行为，其投标无效且不予退还投标保证金或通过投标保函进行索赔。情节严重的，由财政部门列入不良行为记录。</w:t>
      </w:r>
    </w:p>
    <w:p w14:paraId="24F6184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8.4其他：</w:t>
      </w:r>
    </w:p>
    <w:p w14:paraId="3D0F61AA">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w:t>
      </w:r>
    </w:p>
    <w:p w14:paraId="5838967B">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699CBCD5">
      <w:pPr>
        <w:pStyle w:val="8"/>
        <w:jc w:val="center"/>
        <w:outlineLvl w:val="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highlight w:val="none"/>
        </w:rPr>
        <w:t>第五章 招标内容及要求</w:t>
      </w:r>
    </w:p>
    <w:p w14:paraId="4EFFAE13">
      <w:pPr>
        <w:pStyle w:val="8"/>
        <w:jc w:val="both"/>
        <w:outlineLvl w:val="2"/>
        <w:rPr>
          <w:rFonts w:hint="eastAsia" w:asciiTheme="minorEastAsia" w:hAnsiTheme="minorEastAsia" w:eastAsiaTheme="minorEastAsia" w:cstheme="minorEastAsia"/>
          <w:b/>
          <w:color w:val="auto"/>
          <w:sz w:val="28"/>
          <w:highlight w:val="none"/>
        </w:rPr>
      </w:pPr>
      <w:r>
        <w:rPr>
          <w:rFonts w:hint="eastAsia" w:asciiTheme="minorEastAsia" w:hAnsiTheme="minorEastAsia" w:eastAsiaTheme="minorEastAsia" w:cstheme="minorEastAsia"/>
          <w:b/>
          <w:color w:val="auto"/>
          <w:sz w:val="28"/>
          <w:highlight w:val="none"/>
        </w:rPr>
        <w:t>一、项目概况（采购标的）</w:t>
      </w:r>
    </w:p>
    <w:p w14:paraId="15F7F1CF">
      <w:pPr>
        <w:widowControl/>
        <w:spacing w:line="440" w:lineRule="exact"/>
        <w:ind w:firstLine="482"/>
        <w:rPr>
          <w:rFonts w:cs="Times New Roman" w:asciiTheme="minorEastAsia" w:hAnsiTheme="minorEastAsia"/>
          <w:color w:val="auto"/>
          <w:kern w:val="0"/>
          <w:sz w:val="24"/>
          <w:highlight w:val="none"/>
        </w:rPr>
      </w:pPr>
      <w:r>
        <w:rPr>
          <w:rFonts w:cs="Times New Roman" w:asciiTheme="minorEastAsia" w:hAnsiTheme="minorEastAsia"/>
          <w:color w:val="auto"/>
          <w:kern w:val="0"/>
          <w:sz w:val="24"/>
          <w:highlight w:val="none"/>
        </w:rPr>
        <w:t>1.本次采购的内容为</w:t>
      </w:r>
      <w:r>
        <w:rPr>
          <w:rFonts w:hint="eastAsia" w:cs="Times New Roman" w:asciiTheme="minorEastAsia" w:hAnsiTheme="minorEastAsia"/>
          <w:color w:val="auto"/>
          <w:kern w:val="0"/>
          <w:sz w:val="24"/>
          <w:highlight w:val="none"/>
          <w:lang w:val="en-US" w:eastAsia="zh-CN"/>
        </w:rPr>
        <w:t>泰宁县</w:t>
      </w:r>
      <w:r>
        <w:rPr>
          <w:rFonts w:cs="Times New Roman" w:asciiTheme="minorEastAsia" w:hAnsiTheme="minorEastAsia"/>
          <w:color w:val="auto"/>
          <w:kern w:val="0"/>
          <w:sz w:val="24"/>
          <w:highlight w:val="none"/>
        </w:rPr>
        <w:t>2026年学校食堂食材（含干货、生鲜）配送服务，要求投标人提供的产品质量符合</w:t>
      </w:r>
      <w:r>
        <w:rPr>
          <w:rFonts w:hint="eastAsia" w:cs="Times New Roman" w:asciiTheme="minorEastAsia" w:hAnsiTheme="minorEastAsia"/>
          <w:color w:val="auto"/>
          <w:kern w:val="0"/>
          <w:sz w:val="24"/>
          <w:highlight w:val="none"/>
          <w:lang w:val="en-US" w:eastAsia="zh-CN"/>
        </w:rPr>
        <w:t>国家食品安全卫生标准</w:t>
      </w:r>
      <w:r>
        <w:rPr>
          <w:rFonts w:cs="Times New Roman" w:asciiTheme="minorEastAsia" w:hAnsiTheme="minorEastAsia"/>
          <w:color w:val="auto"/>
          <w:kern w:val="0"/>
          <w:sz w:val="24"/>
          <w:highlight w:val="none"/>
        </w:rPr>
        <w:t>，不得提供转基因食品原料或利用转基因食品原料加工成的成品。物资验收实行索证制度，确保可追溯。必要时供货方必须出具符合国家标准的检验证明。</w:t>
      </w:r>
    </w:p>
    <w:p w14:paraId="700FBA3B">
      <w:pPr>
        <w:widowControl/>
        <w:spacing w:line="440" w:lineRule="exact"/>
        <w:ind w:firstLine="482"/>
        <w:rPr>
          <w:rFonts w:cs="Times New Roman" w:asciiTheme="minorEastAsia" w:hAnsiTheme="minorEastAsia"/>
          <w:color w:val="auto"/>
          <w:kern w:val="0"/>
          <w:sz w:val="24"/>
          <w:highlight w:val="none"/>
        </w:rPr>
      </w:pPr>
      <w:r>
        <w:rPr>
          <w:rFonts w:cs="Times New Roman" w:asciiTheme="minorEastAsia" w:hAnsiTheme="minorEastAsia"/>
          <w:color w:val="auto"/>
          <w:kern w:val="0"/>
          <w:sz w:val="24"/>
          <w:highlight w:val="none"/>
        </w:rPr>
        <w:t>2.负责采购人食堂就餐所需大宗食材（包括但不限于大米、食用油、面粉、肉、蛋、奶等）、原辅材料（包括但不限于新鲜蔬菜、水果、干货、调味品等）配送，包括采购、检验、包装、运输、售后服务等，要求中标</w:t>
      </w:r>
      <w:r>
        <w:rPr>
          <w:rFonts w:hint="eastAsia" w:cs="Times New Roman" w:asciiTheme="minorEastAsia" w:hAnsiTheme="minorEastAsia"/>
          <w:color w:val="auto"/>
          <w:kern w:val="0"/>
          <w:sz w:val="24"/>
          <w:highlight w:val="none"/>
          <w:lang w:eastAsia="zh-CN"/>
        </w:rPr>
        <w:t>投标人</w:t>
      </w:r>
      <w:r>
        <w:rPr>
          <w:rFonts w:cs="Times New Roman" w:asciiTheme="minorEastAsia" w:hAnsiTheme="minorEastAsia"/>
          <w:color w:val="auto"/>
          <w:kern w:val="0"/>
          <w:sz w:val="24"/>
          <w:highlight w:val="none"/>
        </w:rPr>
        <w:t>应按质按时按量向采购人提供配送服务。</w:t>
      </w:r>
    </w:p>
    <w:p w14:paraId="6507D53B">
      <w:pPr>
        <w:widowControl/>
        <w:spacing w:line="440" w:lineRule="exact"/>
        <w:ind w:firstLine="482"/>
        <w:rPr>
          <w:rFonts w:cs="Times New Roman" w:asciiTheme="minorEastAsia" w:hAnsiTheme="minorEastAsia"/>
          <w:color w:val="auto"/>
          <w:kern w:val="0"/>
          <w:sz w:val="24"/>
          <w:highlight w:val="none"/>
        </w:rPr>
      </w:pPr>
      <w:r>
        <w:rPr>
          <w:rFonts w:hint="eastAsia" w:cs="Times New Roman" w:asciiTheme="minorEastAsia" w:hAnsiTheme="minorEastAsia"/>
          <w:color w:val="auto"/>
          <w:kern w:val="0"/>
          <w:sz w:val="24"/>
          <w:highlight w:val="none"/>
        </w:rPr>
        <w:t>3.中标人所提供产品必须符合</w:t>
      </w:r>
      <w:r>
        <w:rPr>
          <w:rFonts w:cs="Times New Roman" w:asciiTheme="minorEastAsia" w:hAnsiTheme="minorEastAsia"/>
          <w:color w:val="auto"/>
          <w:kern w:val="0"/>
          <w:sz w:val="24"/>
          <w:highlight w:val="none"/>
        </w:rPr>
        <w:t>符合</w:t>
      </w:r>
      <w:r>
        <w:rPr>
          <w:rFonts w:hint="eastAsia" w:cs="Times New Roman" w:asciiTheme="minorEastAsia" w:hAnsiTheme="minorEastAsia"/>
          <w:color w:val="auto"/>
          <w:kern w:val="0"/>
          <w:sz w:val="24"/>
          <w:highlight w:val="none"/>
          <w:lang w:val="en-US" w:eastAsia="zh-CN"/>
        </w:rPr>
        <w:t>国家食品安全卫生标准</w:t>
      </w:r>
      <w:r>
        <w:rPr>
          <w:rFonts w:hint="eastAsia" w:cs="Times New Roman" w:asciiTheme="minorEastAsia" w:hAnsiTheme="minorEastAsia"/>
          <w:color w:val="auto"/>
          <w:kern w:val="0"/>
          <w:sz w:val="24"/>
          <w:highlight w:val="none"/>
        </w:rPr>
        <w:t>要求，若因中标人提供的产品的质量、卫生标准等问题所产生的食品安全事故，一切责任由中标人承担。若因中标人中标后无法按照采购文件及投标文件承诺的有关条款提供相关货物、服务的，视为中标人违约；采购人有权取消其中标资格，并根据评审报告推荐的中标候选名单依次递补中标人，已签订采购合同的重新开展采购活动。若中标人原因造成采购人金钱损失、名誉受损等侵害采购人的情形，中标人需进行赔偿，并承担相关法律责任。</w:t>
      </w:r>
    </w:p>
    <w:p w14:paraId="1C7C7DDA">
      <w:pPr>
        <w:widowControl/>
        <w:spacing w:line="440" w:lineRule="exact"/>
        <w:ind w:firstLine="482"/>
        <w:rPr>
          <w:rFonts w:hint="eastAsia" w:cs="Times New Roman" w:asciiTheme="minorEastAsia" w:hAnsiTheme="minorEastAsia"/>
          <w:color w:val="auto"/>
          <w:kern w:val="0"/>
          <w:sz w:val="24"/>
          <w:highlight w:val="none"/>
        </w:rPr>
      </w:pPr>
      <w:r>
        <w:rPr>
          <w:rFonts w:hint="eastAsia" w:cs="Times New Roman" w:asciiTheme="minorEastAsia" w:hAnsiTheme="minorEastAsia"/>
          <w:color w:val="auto"/>
          <w:kern w:val="0"/>
          <w:sz w:val="24"/>
          <w:highlight w:val="none"/>
        </w:rPr>
        <w:t>4.因中标人原因启动退出机制（取消其中标资格的情形），或因突发事件等不可抗力导致无法进行正常供货时，可启动应急采购。由县（市区）学生营养办组织召开应急采购专项会议，择优选取其他供应服务商进行应急配送，为期1-2个月，同时启动新一轮采购招标。</w:t>
      </w:r>
    </w:p>
    <w:p w14:paraId="1FA40912">
      <w:pPr>
        <w:widowControl/>
        <w:spacing w:line="440" w:lineRule="exact"/>
        <w:ind w:firstLine="482"/>
        <w:rPr>
          <w:rFonts w:hint="eastAsia" w:cs="Times New Roman" w:asciiTheme="minorEastAsia" w:hAnsiTheme="minorEastAsia"/>
          <w:color w:val="auto"/>
          <w:kern w:val="0"/>
          <w:sz w:val="24"/>
          <w:highlight w:val="none"/>
          <w:lang w:val="en-US" w:eastAsia="zh-CN"/>
        </w:rPr>
      </w:pPr>
      <w:r>
        <w:rPr>
          <w:rFonts w:hint="eastAsia" w:cs="Times New Roman" w:asciiTheme="minorEastAsia" w:hAnsiTheme="minorEastAsia"/>
          <w:color w:val="auto"/>
          <w:kern w:val="0"/>
          <w:sz w:val="24"/>
          <w:highlight w:val="none"/>
          <w:lang w:val="en-US" w:eastAsia="zh-CN"/>
        </w:rPr>
        <w:t>5.配送范围为：全县义务教育学校、城区公办幼儿园、县中小学生社会实践活动基地纳入本次食材配送服务招标范围。</w:t>
      </w:r>
    </w:p>
    <w:tbl>
      <w:tblPr>
        <w:tblStyle w:val="5"/>
        <w:tblW w:w="938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3705"/>
        <w:gridCol w:w="4602"/>
      </w:tblGrid>
      <w:tr w14:paraId="39AE1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9387" w:type="dxa"/>
            <w:gridSpan w:val="3"/>
            <w:tcBorders>
              <w:top w:val="single" w:color="000000" w:sz="8" w:space="0"/>
              <w:left w:val="single" w:color="000000" w:sz="8" w:space="0"/>
              <w:bottom w:val="single" w:color="000000" w:sz="8" w:space="0"/>
              <w:right w:val="single" w:color="000000" w:sz="8" w:space="0"/>
            </w:tcBorders>
            <w:shd w:val="clear" w:color="auto" w:fill="auto"/>
            <w:vAlign w:val="top"/>
          </w:tcPr>
          <w:p w14:paraId="722C507D">
            <w:pPr>
              <w:keepNext w:val="0"/>
              <w:keepLines w:val="0"/>
              <w:widowControl/>
              <w:suppressLineNumbers w:val="0"/>
              <w:shd w:val="clear"/>
              <w:jc w:val="center"/>
              <w:textAlignment w:val="top"/>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泰宁县城关到各乡镇预估公里数（配送里程）</w:t>
            </w:r>
          </w:p>
        </w:tc>
      </w:tr>
      <w:tr w14:paraId="559AF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top"/>
          </w:tcPr>
          <w:p w14:paraId="5A4A87E9">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3705" w:type="dxa"/>
            <w:tcBorders>
              <w:top w:val="single" w:color="000000" w:sz="8" w:space="0"/>
              <w:left w:val="nil"/>
              <w:bottom w:val="single" w:color="000000" w:sz="8" w:space="0"/>
              <w:right w:val="single" w:color="000000" w:sz="8" w:space="0"/>
            </w:tcBorders>
            <w:shd w:val="clear" w:color="auto" w:fill="auto"/>
            <w:vAlign w:val="top"/>
          </w:tcPr>
          <w:p w14:paraId="2446CCD1">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乡镇</w:t>
            </w:r>
          </w:p>
        </w:tc>
        <w:tc>
          <w:tcPr>
            <w:tcW w:w="4602" w:type="dxa"/>
            <w:tcBorders>
              <w:top w:val="single" w:color="000000" w:sz="8" w:space="0"/>
              <w:left w:val="nil"/>
              <w:bottom w:val="single" w:color="000000" w:sz="8" w:space="0"/>
              <w:right w:val="single" w:color="000000" w:sz="8" w:space="0"/>
            </w:tcBorders>
            <w:shd w:val="clear" w:color="auto" w:fill="auto"/>
            <w:vAlign w:val="top"/>
          </w:tcPr>
          <w:p w14:paraId="42237ECB">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预估距离（KM）</w:t>
            </w:r>
          </w:p>
        </w:tc>
      </w:tr>
      <w:tr w14:paraId="711B5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top"/>
          </w:tcPr>
          <w:p w14:paraId="6717D44D">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705" w:type="dxa"/>
            <w:tcBorders>
              <w:top w:val="nil"/>
              <w:left w:val="nil"/>
              <w:bottom w:val="single" w:color="000000" w:sz="8" w:space="0"/>
              <w:right w:val="single" w:color="000000" w:sz="8" w:space="0"/>
            </w:tcBorders>
            <w:shd w:val="clear" w:color="auto" w:fill="auto"/>
            <w:vAlign w:val="top"/>
          </w:tcPr>
          <w:p w14:paraId="45A09C04">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泰宁三中</w:t>
            </w:r>
          </w:p>
        </w:tc>
        <w:tc>
          <w:tcPr>
            <w:tcW w:w="4602" w:type="dxa"/>
            <w:tcBorders>
              <w:top w:val="nil"/>
              <w:left w:val="nil"/>
              <w:bottom w:val="single" w:color="000000" w:sz="8" w:space="0"/>
              <w:right w:val="single" w:color="000000" w:sz="8" w:space="0"/>
            </w:tcBorders>
            <w:shd w:val="clear" w:color="auto" w:fill="auto"/>
            <w:vAlign w:val="top"/>
          </w:tcPr>
          <w:p w14:paraId="40C19D61">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城区</w:t>
            </w:r>
          </w:p>
        </w:tc>
      </w:tr>
      <w:tr w14:paraId="6C6A5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top"/>
          </w:tcPr>
          <w:p w14:paraId="00222A6B">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705" w:type="dxa"/>
            <w:tcBorders>
              <w:top w:val="nil"/>
              <w:left w:val="nil"/>
              <w:bottom w:val="single" w:color="000000" w:sz="8" w:space="0"/>
              <w:right w:val="single" w:color="000000" w:sz="8" w:space="0"/>
            </w:tcBorders>
            <w:shd w:val="clear" w:color="auto" w:fill="auto"/>
            <w:vAlign w:val="top"/>
          </w:tcPr>
          <w:p w14:paraId="5833AFEF">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泰宁四中</w:t>
            </w:r>
          </w:p>
        </w:tc>
        <w:tc>
          <w:tcPr>
            <w:tcW w:w="4602" w:type="dxa"/>
            <w:tcBorders>
              <w:top w:val="nil"/>
              <w:left w:val="nil"/>
              <w:bottom w:val="single" w:color="000000" w:sz="8" w:space="0"/>
              <w:right w:val="single" w:color="000000" w:sz="8" w:space="0"/>
            </w:tcBorders>
            <w:shd w:val="clear" w:color="auto" w:fill="auto"/>
            <w:vAlign w:val="top"/>
          </w:tcPr>
          <w:p w14:paraId="357BB800">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城区</w:t>
            </w:r>
          </w:p>
        </w:tc>
      </w:tr>
      <w:tr w14:paraId="4B20D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080" w:type="dxa"/>
            <w:tcBorders>
              <w:top w:val="nil"/>
              <w:left w:val="single" w:color="000000" w:sz="8" w:space="0"/>
              <w:bottom w:val="single" w:color="000000" w:sz="8" w:space="0"/>
              <w:right w:val="single" w:color="000000" w:sz="8" w:space="0"/>
            </w:tcBorders>
            <w:shd w:val="clear" w:color="auto" w:fill="auto"/>
            <w:vAlign w:val="top"/>
          </w:tcPr>
          <w:p w14:paraId="0397393A">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3705" w:type="dxa"/>
            <w:tcBorders>
              <w:top w:val="nil"/>
              <w:left w:val="nil"/>
              <w:bottom w:val="single" w:color="000000" w:sz="8" w:space="0"/>
              <w:right w:val="single" w:color="000000" w:sz="8" w:space="0"/>
            </w:tcBorders>
            <w:shd w:val="clear" w:color="auto" w:fill="auto"/>
            <w:vAlign w:val="top"/>
          </w:tcPr>
          <w:p w14:paraId="6EDA72E5">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泰宁县丹霞实验学校</w:t>
            </w:r>
          </w:p>
        </w:tc>
        <w:tc>
          <w:tcPr>
            <w:tcW w:w="4602" w:type="dxa"/>
            <w:tcBorders>
              <w:top w:val="nil"/>
              <w:left w:val="nil"/>
              <w:bottom w:val="single" w:color="000000" w:sz="8" w:space="0"/>
              <w:right w:val="single" w:color="000000" w:sz="8" w:space="0"/>
            </w:tcBorders>
            <w:shd w:val="clear" w:color="auto" w:fill="auto"/>
            <w:vAlign w:val="top"/>
          </w:tcPr>
          <w:p w14:paraId="0D4AA018">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城区</w:t>
            </w:r>
          </w:p>
        </w:tc>
      </w:tr>
      <w:tr w14:paraId="2A282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1080" w:type="dxa"/>
            <w:tcBorders>
              <w:top w:val="nil"/>
              <w:left w:val="single" w:color="000000" w:sz="8" w:space="0"/>
              <w:bottom w:val="single" w:color="000000" w:sz="8" w:space="0"/>
              <w:right w:val="single" w:color="000000" w:sz="8" w:space="0"/>
            </w:tcBorders>
            <w:shd w:val="clear" w:color="auto" w:fill="auto"/>
            <w:vAlign w:val="top"/>
          </w:tcPr>
          <w:p w14:paraId="3D136CC0">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3705" w:type="dxa"/>
            <w:tcBorders>
              <w:top w:val="nil"/>
              <w:left w:val="nil"/>
              <w:bottom w:val="single" w:color="000000" w:sz="8" w:space="0"/>
              <w:right w:val="single" w:color="000000" w:sz="8" w:space="0"/>
            </w:tcBorders>
            <w:shd w:val="clear" w:color="auto" w:fill="auto"/>
            <w:vAlign w:val="top"/>
          </w:tcPr>
          <w:p w14:paraId="6BFC4482">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泰宁县中小学社会实践活动基地</w:t>
            </w:r>
          </w:p>
        </w:tc>
        <w:tc>
          <w:tcPr>
            <w:tcW w:w="4602" w:type="dxa"/>
            <w:tcBorders>
              <w:top w:val="nil"/>
              <w:left w:val="nil"/>
              <w:bottom w:val="single" w:color="000000" w:sz="8" w:space="0"/>
              <w:right w:val="single" w:color="000000" w:sz="8" w:space="0"/>
            </w:tcBorders>
            <w:shd w:val="clear" w:color="auto" w:fill="auto"/>
            <w:vAlign w:val="top"/>
          </w:tcPr>
          <w:p w14:paraId="5B32BE70">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r>
      <w:tr w14:paraId="20592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top"/>
          </w:tcPr>
          <w:p w14:paraId="77737B12">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3705" w:type="dxa"/>
            <w:tcBorders>
              <w:top w:val="nil"/>
              <w:left w:val="nil"/>
              <w:bottom w:val="single" w:color="000000" w:sz="8" w:space="0"/>
              <w:right w:val="single" w:color="000000" w:sz="8" w:space="0"/>
            </w:tcBorders>
            <w:shd w:val="clear" w:color="auto" w:fill="auto"/>
            <w:vAlign w:val="top"/>
          </w:tcPr>
          <w:p w14:paraId="065C32EB">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朱口小学</w:t>
            </w:r>
          </w:p>
        </w:tc>
        <w:tc>
          <w:tcPr>
            <w:tcW w:w="4602" w:type="dxa"/>
            <w:tcBorders>
              <w:top w:val="nil"/>
              <w:left w:val="nil"/>
              <w:bottom w:val="single" w:color="000000" w:sz="8" w:space="0"/>
              <w:right w:val="single" w:color="000000" w:sz="8" w:space="0"/>
            </w:tcBorders>
            <w:shd w:val="clear" w:color="auto" w:fill="auto"/>
            <w:vAlign w:val="top"/>
          </w:tcPr>
          <w:p w14:paraId="55C6E881">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r>
      <w:tr w14:paraId="0689C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top"/>
          </w:tcPr>
          <w:p w14:paraId="273AFEA7">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3705" w:type="dxa"/>
            <w:tcBorders>
              <w:top w:val="nil"/>
              <w:left w:val="nil"/>
              <w:bottom w:val="single" w:color="000000" w:sz="8" w:space="0"/>
              <w:right w:val="single" w:color="000000" w:sz="8" w:space="0"/>
            </w:tcBorders>
            <w:shd w:val="clear" w:color="auto" w:fill="auto"/>
            <w:vAlign w:val="top"/>
          </w:tcPr>
          <w:p w14:paraId="07638B6D">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龙湖学校</w:t>
            </w:r>
          </w:p>
        </w:tc>
        <w:tc>
          <w:tcPr>
            <w:tcW w:w="4602" w:type="dxa"/>
            <w:tcBorders>
              <w:top w:val="nil"/>
              <w:left w:val="nil"/>
              <w:bottom w:val="single" w:color="000000" w:sz="8" w:space="0"/>
              <w:right w:val="single" w:color="000000" w:sz="8" w:space="0"/>
            </w:tcBorders>
            <w:shd w:val="clear" w:color="auto" w:fill="auto"/>
            <w:vAlign w:val="top"/>
          </w:tcPr>
          <w:p w14:paraId="683BA111">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r>
      <w:tr w14:paraId="46AA4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top"/>
          </w:tcPr>
          <w:p w14:paraId="3FED924E">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3705" w:type="dxa"/>
            <w:tcBorders>
              <w:top w:val="nil"/>
              <w:left w:val="nil"/>
              <w:bottom w:val="single" w:color="000000" w:sz="8" w:space="0"/>
              <w:right w:val="single" w:color="000000" w:sz="8" w:space="0"/>
            </w:tcBorders>
            <w:shd w:val="clear" w:color="auto" w:fill="auto"/>
            <w:vAlign w:val="top"/>
          </w:tcPr>
          <w:p w14:paraId="610AD87B">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上青小学</w:t>
            </w:r>
          </w:p>
        </w:tc>
        <w:tc>
          <w:tcPr>
            <w:tcW w:w="4602" w:type="dxa"/>
            <w:tcBorders>
              <w:top w:val="nil"/>
              <w:left w:val="nil"/>
              <w:bottom w:val="single" w:color="000000" w:sz="8" w:space="0"/>
              <w:right w:val="single" w:color="000000" w:sz="8" w:space="0"/>
            </w:tcBorders>
            <w:shd w:val="clear" w:color="auto" w:fill="auto"/>
            <w:vAlign w:val="top"/>
          </w:tcPr>
          <w:p w14:paraId="03A09F9D">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r>
      <w:tr w14:paraId="6A792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80" w:type="dxa"/>
            <w:tcBorders>
              <w:top w:val="nil"/>
              <w:left w:val="single" w:color="000000" w:sz="8" w:space="0"/>
              <w:bottom w:val="single" w:color="000000" w:sz="8" w:space="0"/>
              <w:right w:val="single" w:color="000000" w:sz="8" w:space="0"/>
            </w:tcBorders>
            <w:shd w:val="clear" w:color="auto" w:fill="auto"/>
            <w:vAlign w:val="top"/>
          </w:tcPr>
          <w:p w14:paraId="04AC37D4">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3705" w:type="dxa"/>
            <w:tcBorders>
              <w:top w:val="nil"/>
              <w:left w:val="nil"/>
              <w:bottom w:val="single" w:color="000000" w:sz="8" w:space="0"/>
              <w:right w:val="single" w:color="000000" w:sz="8" w:space="0"/>
            </w:tcBorders>
            <w:shd w:val="clear" w:color="auto" w:fill="auto"/>
            <w:vAlign w:val="top"/>
          </w:tcPr>
          <w:p w14:paraId="78900CCC">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新桥小学</w:t>
            </w:r>
          </w:p>
        </w:tc>
        <w:tc>
          <w:tcPr>
            <w:tcW w:w="4602" w:type="dxa"/>
            <w:tcBorders>
              <w:top w:val="nil"/>
              <w:left w:val="nil"/>
              <w:bottom w:val="single" w:color="000000" w:sz="8" w:space="0"/>
              <w:right w:val="single" w:color="000000" w:sz="8" w:space="0"/>
            </w:tcBorders>
            <w:shd w:val="clear" w:color="auto" w:fill="auto"/>
            <w:vAlign w:val="top"/>
          </w:tcPr>
          <w:p w14:paraId="4D5FD16D">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r>
      <w:tr w14:paraId="75B3D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top"/>
          </w:tcPr>
          <w:p w14:paraId="3914EA27">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3705" w:type="dxa"/>
            <w:tcBorders>
              <w:top w:val="nil"/>
              <w:left w:val="nil"/>
              <w:bottom w:val="single" w:color="000000" w:sz="8" w:space="0"/>
              <w:right w:val="single" w:color="000000" w:sz="8" w:space="0"/>
            </w:tcBorders>
            <w:shd w:val="clear" w:color="auto" w:fill="auto"/>
            <w:vAlign w:val="top"/>
          </w:tcPr>
          <w:p w14:paraId="1A554354">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下渠学校</w:t>
            </w:r>
          </w:p>
        </w:tc>
        <w:tc>
          <w:tcPr>
            <w:tcW w:w="4602" w:type="dxa"/>
            <w:tcBorders>
              <w:top w:val="nil"/>
              <w:left w:val="nil"/>
              <w:bottom w:val="single" w:color="000000" w:sz="8" w:space="0"/>
              <w:right w:val="single" w:color="000000" w:sz="8" w:space="0"/>
            </w:tcBorders>
            <w:shd w:val="clear" w:color="auto" w:fill="auto"/>
            <w:vAlign w:val="top"/>
          </w:tcPr>
          <w:p w14:paraId="17390797">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r>
      <w:tr w14:paraId="1D02C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top"/>
          </w:tcPr>
          <w:p w14:paraId="43646F18">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3705" w:type="dxa"/>
            <w:tcBorders>
              <w:top w:val="nil"/>
              <w:left w:val="nil"/>
              <w:bottom w:val="single" w:color="000000" w:sz="8" w:space="0"/>
              <w:right w:val="single" w:color="000000" w:sz="8" w:space="0"/>
            </w:tcBorders>
            <w:shd w:val="clear" w:color="auto" w:fill="auto"/>
            <w:vAlign w:val="top"/>
          </w:tcPr>
          <w:p w14:paraId="23E51387">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开善小学</w:t>
            </w:r>
          </w:p>
        </w:tc>
        <w:tc>
          <w:tcPr>
            <w:tcW w:w="4602" w:type="dxa"/>
            <w:tcBorders>
              <w:top w:val="nil"/>
              <w:left w:val="nil"/>
              <w:bottom w:val="single" w:color="000000" w:sz="8" w:space="0"/>
              <w:right w:val="single" w:color="000000" w:sz="8" w:space="0"/>
            </w:tcBorders>
            <w:shd w:val="clear" w:color="auto" w:fill="auto"/>
            <w:vAlign w:val="top"/>
          </w:tcPr>
          <w:p w14:paraId="7EC903F0">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r>
      <w:tr w14:paraId="3047D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top"/>
          </w:tcPr>
          <w:p w14:paraId="142BD5D0">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3705" w:type="dxa"/>
            <w:tcBorders>
              <w:top w:val="nil"/>
              <w:left w:val="nil"/>
              <w:bottom w:val="single" w:color="000000" w:sz="8" w:space="0"/>
              <w:right w:val="single" w:color="000000" w:sz="8" w:space="0"/>
            </w:tcBorders>
            <w:shd w:val="clear" w:color="auto" w:fill="auto"/>
            <w:vAlign w:val="top"/>
          </w:tcPr>
          <w:p w14:paraId="31EA074C">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梅口小学</w:t>
            </w:r>
          </w:p>
        </w:tc>
        <w:tc>
          <w:tcPr>
            <w:tcW w:w="4602" w:type="dxa"/>
            <w:tcBorders>
              <w:top w:val="nil"/>
              <w:left w:val="nil"/>
              <w:bottom w:val="single" w:color="000000" w:sz="8" w:space="0"/>
              <w:right w:val="single" w:color="000000" w:sz="8" w:space="0"/>
            </w:tcBorders>
            <w:shd w:val="clear" w:color="auto" w:fill="auto"/>
            <w:vAlign w:val="top"/>
          </w:tcPr>
          <w:p w14:paraId="066BD125">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r>
      <w:tr w14:paraId="5F631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top"/>
          </w:tcPr>
          <w:p w14:paraId="572BC749">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3705" w:type="dxa"/>
            <w:tcBorders>
              <w:top w:val="nil"/>
              <w:left w:val="nil"/>
              <w:bottom w:val="single" w:color="000000" w:sz="8" w:space="0"/>
              <w:right w:val="single" w:color="000000" w:sz="8" w:space="0"/>
            </w:tcBorders>
            <w:shd w:val="clear" w:color="auto" w:fill="auto"/>
            <w:vAlign w:val="top"/>
          </w:tcPr>
          <w:p w14:paraId="54E7CA56">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大田小学</w:t>
            </w:r>
          </w:p>
        </w:tc>
        <w:tc>
          <w:tcPr>
            <w:tcW w:w="4602" w:type="dxa"/>
            <w:tcBorders>
              <w:top w:val="nil"/>
              <w:left w:val="nil"/>
              <w:bottom w:val="single" w:color="000000" w:sz="8" w:space="0"/>
              <w:right w:val="single" w:color="000000" w:sz="8" w:space="0"/>
            </w:tcBorders>
            <w:shd w:val="clear" w:color="auto" w:fill="auto"/>
            <w:vAlign w:val="top"/>
          </w:tcPr>
          <w:p w14:paraId="6B1A0DAA">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r>
      <w:tr w14:paraId="32EAB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80" w:type="dxa"/>
            <w:tcBorders>
              <w:top w:val="nil"/>
              <w:left w:val="single" w:color="000000" w:sz="8" w:space="0"/>
              <w:bottom w:val="nil"/>
              <w:right w:val="single" w:color="000000" w:sz="8" w:space="0"/>
            </w:tcBorders>
            <w:shd w:val="clear" w:color="auto" w:fill="auto"/>
            <w:vAlign w:val="top"/>
          </w:tcPr>
          <w:p w14:paraId="2D2F2017">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3705" w:type="dxa"/>
            <w:tcBorders>
              <w:top w:val="nil"/>
              <w:left w:val="nil"/>
              <w:bottom w:val="nil"/>
              <w:right w:val="single" w:color="000000" w:sz="8" w:space="0"/>
            </w:tcBorders>
            <w:shd w:val="clear" w:color="auto" w:fill="auto"/>
            <w:vAlign w:val="top"/>
          </w:tcPr>
          <w:p w14:paraId="75507B0E">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大龙小学</w:t>
            </w:r>
          </w:p>
        </w:tc>
        <w:tc>
          <w:tcPr>
            <w:tcW w:w="4602" w:type="dxa"/>
            <w:tcBorders>
              <w:top w:val="nil"/>
              <w:left w:val="nil"/>
              <w:bottom w:val="nil"/>
              <w:right w:val="single" w:color="000000" w:sz="8" w:space="0"/>
            </w:tcBorders>
            <w:shd w:val="clear" w:color="auto" w:fill="auto"/>
            <w:vAlign w:val="top"/>
          </w:tcPr>
          <w:p w14:paraId="291A881A">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r>
      <w:tr w14:paraId="17E91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top"/>
          </w:tcPr>
          <w:p w14:paraId="4171EB07">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top"/>
          </w:tcPr>
          <w:p w14:paraId="12507125">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实验幼儿园</w:t>
            </w: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top"/>
          </w:tcPr>
          <w:p w14:paraId="3A299018">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城区</w:t>
            </w:r>
          </w:p>
        </w:tc>
      </w:tr>
      <w:tr w14:paraId="7B174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top"/>
          </w:tcPr>
          <w:p w14:paraId="419E55FC">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top"/>
          </w:tcPr>
          <w:p w14:paraId="3D7B3162">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丹霞幼儿园</w:t>
            </w: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top"/>
          </w:tcPr>
          <w:p w14:paraId="32FC0D84">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城区</w:t>
            </w:r>
          </w:p>
        </w:tc>
      </w:tr>
      <w:tr w14:paraId="44CC7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top"/>
          </w:tcPr>
          <w:p w14:paraId="0FA67330">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top"/>
          </w:tcPr>
          <w:p w14:paraId="68790829">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丹霞幼儿园（文昌分园）</w:t>
            </w: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top"/>
          </w:tcPr>
          <w:p w14:paraId="2053B51E">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城区</w:t>
            </w:r>
          </w:p>
        </w:tc>
      </w:tr>
      <w:tr w14:paraId="668B5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top"/>
          </w:tcPr>
          <w:p w14:paraId="40297123">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top"/>
          </w:tcPr>
          <w:p w14:paraId="3232F921">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五谷幼儿园</w:t>
            </w: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top"/>
          </w:tcPr>
          <w:p w14:paraId="4D8AB359">
            <w:pPr>
              <w:keepNext w:val="0"/>
              <w:keepLines w:val="0"/>
              <w:widowControl/>
              <w:suppressLineNumbers w:val="0"/>
              <w:shd w:val="clear"/>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城区</w:t>
            </w:r>
          </w:p>
        </w:tc>
      </w:tr>
    </w:tbl>
    <w:p w14:paraId="4F1CA97F">
      <w:pPr>
        <w:widowControl/>
        <w:shd w:val="clear"/>
        <w:spacing w:line="440" w:lineRule="exact"/>
        <w:ind w:firstLine="480" w:firstLineChars="200"/>
        <w:rPr>
          <w:rFonts w:hint="eastAsia" w:asciiTheme="minorEastAsia" w:hAnsiTheme="minorEastAsia" w:eastAsiaTheme="minorEastAsia" w:cstheme="minorEastAsia"/>
          <w:b/>
          <w:color w:val="auto"/>
          <w:sz w:val="28"/>
          <w:highlight w:val="none"/>
          <w:shd w:val="clear"/>
        </w:rPr>
      </w:pPr>
      <w:r>
        <w:rPr>
          <w:rFonts w:hint="eastAsia" w:cs="Times New Roman" w:asciiTheme="minorEastAsia" w:hAnsiTheme="minorEastAsia"/>
          <w:color w:val="auto"/>
          <w:kern w:val="0"/>
          <w:sz w:val="24"/>
          <w:highlight w:val="none"/>
          <w:lang w:val="en-US" w:eastAsia="zh-CN"/>
        </w:rPr>
        <w:t>6.服务期：</w:t>
      </w:r>
      <w:r>
        <w:rPr>
          <w:rFonts w:hint="eastAsia" w:cs="Times New Roman" w:asciiTheme="minorEastAsia" w:hAnsiTheme="minorEastAsia"/>
          <w:color w:val="auto"/>
          <w:kern w:val="0"/>
          <w:sz w:val="24"/>
          <w:highlight w:val="none"/>
          <w:shd w:val="clear"/>
          <w:lang w:val="en-US" w:eastAsia="zh-CN"/>
        </w:rPr>
        <w:t>2026年10月24日—2027年8月31日</w:t>
      </w:r>
    </w:p>
    <w:p w14:paraId="01FC730B">
      <w:pPr>
        <w:pStyle w:val="8"/>
        <w:numPr>
          <w:ilvl w:val="0"/>
          <w:numId w:val="1"/>
        </w:numPr>
        <w:shd w:val="clear"/>
        <w:jc w:val="both"/>
        <w:outlineLvl w:val="2"/>
        <w:rPr>
          <w:rFonts w:hint="eastAsia" w:asciiTheme="minorEastAsia" w:hAnsiTheme="minorEastAsia" w:eastAsiaTheme="minorEastAsia" w:cstheme="minorEastAsia"/>
          <w:b/>
          <w:color w:val="auto"/>
          <w:sz w:val="28"/>
          <w:highlight w:val="none"/>
        </w:rPr>
      </w:pPr>
      <w:r>
        <w:rPr>
          <w:rFonts w:hint="eastAsia" w:asciiTheme="minorEastAsia" w:hAnsiTheme="minorEastAsia" w:eastAsiaTheme="minorEastAsia" w:cstheme="minorEastAsia"/>
          <w:b/>
          <w:color w:val="auto"/>
          <w:sz w:val="28"/>
          <w:highlight w:val="none"/>
        </w:rPr>
        <w:t>技术和服务要求（以“★”标示的内容为不允许负偏离的实质性要求）</w:t>
      </w:r>
    </w:p>
    <w:p w14:paraId="47F4995A">
      <w:pPr>
        <w:pStyle w:val="8"/>
        <w:spacing w:line="440" w:lineRule="exact"/>
        <w:rPr>
          <w:rFonts w:hint="default" w:cs="Times New Roman" w:asciiTheme="minorEastAsia" w:hAnsiTheme="minorEastAsia"/>
          <w:color w:val="auto"/>
          <w:sz w:val="24"/>
          <w:szCs w:val="24"/>
          <w:highlight w:val="none"/>
          <w:lang w:eastAsia="zh-CN"/>
        </w:rPr>
      </w:pPr>
      <w:r>
        <w:rPr>
          <w:rFonts w:cs="Times New Roman" w:asciiTheme="minorEastAsia" w:hAnsiTheme="minorEastAsia"/>
          <w:color w:val="auto"/>
          <w:sz w:val="24"/>
          <w:szCs w:val="24"/>
          <w:highlight w:val="none"/>
          <w:lang w:eastAsia="zh-CN"/>
        </w:rPr>
        <w:t>★（一）采购内容及要求</w:t>
      </w:r>
    </w:p>
    <w:p w14:paraId="0D4C35BD">
      <w:pPr>
        <w:pStyle w:val="8"/>
        <w:spacing w:line="440" w:lineRule="exact"/>
        <w:rPr>
          <w:rFonts w:hint="default" w:cs="Times New Roman" w:asciiTheme="minorEastAsia" w:hAnsiTheme="minorEastAsia"/>
          <w:color w:val="auto"/>
          <w:sz w:val="24"/>
          <w:szCs w:val="24"/>
          <w:highlight w:val="none"/>
          <w:lang w:eastAsia="zh-CN"/>
        </w:rPr>
      </w:pPr>
      <w:r>
        <w:rPr>
          <w:rFonts w:cs="Times New Roman" w:asciiTheme="minorEastAsia" w:hAnsiTheme="minorEastAsia"/>
          <w:color w:val="auto"/>
          <w:sz w:val="24"/>
          <w:szCs w:val="24"/>
          <w:highlight w:val="none"/>
          <w:lang w:eastAsia="zh-CN"/>
        </w:rPr>
        <w:t>货品须严格按照</w:t>
      </w:r>
      <w:r>
        <w:rPr>
          <w:rFonts w:hint="eastAsia" w:cs="Times New Roman" w:asciiTheme="minorEastAsia" w:hAnsiTheme="minorEastAsia"/>
          <w:color w:val="auto"/>
          <w:kern w:val="0"/>
          <w:sz w:val="24"/>
          <w:highlight w:val="none"/>
          <w:lang w:val="en-US" w:eastAsia="zh-CN"/>
        </w:rPr>
        <w:t>国家食品安全卫生标准</w:t>
      </w:r>
      <w:r>
        <w:rPr>
          <w:rFonts w:cs="Times New Roman" w:asciiTheme="minorEastAsia" w:hAnsiTheme="minorEastAsia"/>
          <w:color w:val="auto"/>
          <w:sz w:val="24"/>
          <w:szCs w:val="24"/>
          <w:highlight w:val="none"/>
          <w:lang w:eastAsia="zh-CN"/>
        </w:rPr>
        <w:t>的相关要求执行，质量符合现行有效的国家食品安全标准或行业标准，确保食材新鲜健康、完整、不过期、不变质、不添加任何对人体有害的化学添加剂，</w:t>
      </w:r>
      <w:r>
        <w:rPr>
          <w:rFonts w:hint="eastAsia" w:cs="Times New Roman" w:asciiTheme="minorEastAsia" w:hAnsiTheme="minorEastAsia"/>
          <w:color w:val="auto"/>
          <w:sz w:val="24"/>
          <w:szCs w:val="24"/>
          <w:highlight w:val="none"/>
          <w:lang w:eastAsia="zh-CN"/>
        </w:rPr>
        <w:t>必须是非转基因食品，不得提供保健食品、含乳饮料和火腿肠等深加工食品，避免提供高盐、高油及高糖的食品，不得采购四季豆、鲜黄花菜、野生蘑菇、发芽土豆等高风险食品。</w:t>
      </w:r>
    </w:p>
    <w:p w14:paraId="3D0AF6A8">
      <w:pPr>
        <w:pStyle w:val="8"/>
        <w:jc w:val="left"/>
        <w:rPr>
          <w:color w:val="auto"/>
          <w:highlight w:val="none"/>
        </w:rPr>
      </w:pPr>
      <w:r>
        <w:rPr>
          <w:rFonts w:ascii="宋体" w:hAnsi="宋体" w:eastAsia="宋体" w:cs="宋体"/>
          <w:color w:val="auto"/>
          <w:sz w:val="24"/>
          <w:highlight w:val="none"/>
        </w:rPr>
        <w:t>（</w:t>
      </w:r>
      <w:r>
        <w:rPr>
          <w:rFonts w:hint="eastAsia" w:ascii="宋体" w:hAnsi="宋体" w:eastAsia="宋体" w:cs="宋体"/>
          <w:color w:val="auto"/>
          <w:sz w:val="24"/>
          <w:highlight w:val="none"/>
          <w:lang w:val="en-US" w:eastAsia="zh-CN"/>
        </w:rPr>
        <w:t>1</w:t>
      </w:r>
      <w:r>
        <w:rPr>
          <w:rFonts w:ascii="宋体" w:hAnsi="宋体" w:eastAsia="宋体" w:cs="宋体"/>
          <w:color w:val="auto"/>
          <w:sz w:val="24"/>
          <w:highlight w:val="none"/>
        </w:rPr>
        <w:t>）</w:t>
      </w:r>
      <w:r>
        <w:rPr>
          <w:rFonts w:hint="eastAsia" w:ascii="宋体" w:hAnsi="宋体" w:eastAsia="宋体" w:cs="宋体"/>
          <w:color w:val="auto"/>
          <w:sz w:val="24"/>
          <w:highlight w:val="none"/>
          <w:lang w:val="en-US" w:eastAsia="zh-CN"/>
        </w:rPr>
        <w:t>生鲜</w:t>
      </w:r>
      <w:r>
        <w:rPr>
          <w:rFonts w:ascii="宋体" w:hAnsi="宋体" w:eastAsia="宋体" w:cs="宋体"/>
          <w:color w:val="auto"/>
          <w:sz w:val="24"/>
          <w:highlight w:val="none"/>
        </w:rPr>
        <w:t>采购类别</w:t>
      </w:r>
    </w:p>
    <w:tbl>
      <w:tblPr>
        <w:tblStyle w:val="5"/>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343"/>
        <w:gridCol w:w="1608"/>
        <w:gridCol w:w="6217"/>
      </w:tblGrid>
      <w:tr w14:paraId="27126B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tcBorders>
              <w:top w:val="single" w:color="000000" w:sz="4" w:space="0"/>
              <w:left w:val="single" w:color="000000" w:sz="4" w:space="0"/>
              <w:bottom w:val="single" w:color="auto" w:sz="4" w:space="0"/>
              <w:right w:val="single" w:color="000000" w:sz="4" w:space="0"/>
            </w:tcBorders>
            <w:tcMar>
              <w:top w:w="0" w:type="dxa"/>
              <w:left w:w="105" w:type="dxa"/>
              <w:bottom w:w="0" w:type="dxa"/>
              <w:right w:w="105" w:type="dxa"/>
            </w:tcMar>
            <w:vAlign w:val="top"/>
          </w:tcPr>
          <w:p w14:paraId="71BD3091">
            <w:pPr>
              <w:pStyle w:val="8"/>
              <w:jc w:val="center"/>
              <w:rPr>
                <w:color w:val="auto"/>
                <w:highlight w:val="none"/>
              </w:rPr>
            </w:pPr>
            <w:r>
              <w:rPr>
                <w:rFonts w:ascii="宋体" w:hAnsi="宋体" w:eastAsia="宋体" w:cs="宋体"/>
                <w:color w:val="auto"/>
                <w:sz w:val="24"/>
                <w:highlight w:val="none"/>
              </w:rPr>
              <w:t>序号</w:t>
            </w:r>
          </w:p>
        </w:tc>
        <w:tc>
          <w:tcPr>
            <w:tcW w:w="1608" w:type="dxa"/>
            <w:tcBorders>
              <w:top w:val="single" w:color="000000" w:sz="4" w:space="0"/>
              <w:left w:val="nil"/>
              <w:bottom w:val="single" w:color="auto" w:sz="4" w:space="0"/>
              <w:right w:val="single" w:color="000000" w:sz="4" w:space="0"/>
            </w:tcBorders>
            <w:tcMar>
              <w:top w:w="0" w:type="dxa"/>
              <w:left w:w="105" w:type="dxa"/>
              <w:bottom w:w="0" w:type="dxa"/>
              <w:right w:w="105" w:type="dxa"/>
            </w:tcMar>
            <w:vAlign w:val="top"/>
          </w:tcPr>
          <w:p w14:paraId="533908C6">
            <w:pPr>
              <w:pStyle w:val="8"/>
              <w:jc w:val="center"/>
              <w:rPr>
                <w:color w:val="auto"/>
                <w:highlight w:val="none"/>
              </w:rPr>
            </w:pPr>
            <w:r>
              <w:rPr>
                <w:rFonts w:ascii="宋体" w:hAnsi="宋体" w:eastAsia="宋体" w:cs="宋体"/>
                <w:color w:val="auto"/>
                <w:sz w:val="24"/>
                <w:highlight w:val="none"/>
              </w:rPr>
              <w:t>采购类别</w:t>
            </w:r>
          </w:p>
        </w:tc>
        <w:tc>
          <w:tcPr>
            <w:tcW w:w="6217" w:type="dxa"/>
            <w:tcBorders>
              <w:top w:val="single" w:color="000000" w:sz="4" w:space="0"/>
              <w:left w:val="nil"/>
              <w:bottom w:val="single" w:color="auto" w:sz="4" w:space="0"/>
              <w:right w:val="single" w:color="000000" w:sz="4" w:space="0"/>
            </w:tcBorders>
            <w:tcMar>
              <w:top w:w="0" w:type="dxa"/>
              <w:left w:w="105" w:type="dxa"/>
              <w:bottom w:w="0" w:type="dxa"/>
              <w:right w:w="105" w:type="dxa"/>
            </w:tcMar>
            <w:vAlign w:val="top"/>
          </w:tcPr>
          <w:p w14:paraId="1D1A49BF">
            <w:pPr>
              <w:pStyle w:val="8"/>
              <w:jc w:val="center"/>
              <w:rPr>
                <w:color w:val="auto"/>
                <w:highlight w:val="none"/>
              </w:rPr>
            </w:pPr>
            <w:r>
              <w:rPr>
                <w:rFonts w:ascii="宋体" w:hAnsi="宋体" w:eastAsia="宋体" w:cs="宋体"/>
                <w:color w:val="auto"/>
                <w:sz w:val="24"/>
                <w:highlight w:val="none"/>
              </w:rPr>
              <w:t>品名</w:t>
            </w:r>
          </w:p>
        </w:tc>
      </w:tr>
      <w:tr w14:paraId="51AEAC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10CC8FA">
            <w:pPr>
              <w:pStyle w:val="8"/>
              <w:jc w:val="center"/>
              <w:rPr>
                <w:color w:val="auto"/>
                <w:highlight w:val="none"/>
              </w:rPr>
            </w:pPr>
            <w:r>
              <w:rPr>
                <w:rFonts w:ascii="宋体" w:hAnsi="宋体" w:eastAsia="宋体" w:cs="宋体"/>
                <w:color w:val="auto"/>
                <w:sz w:val="24"/>
                <w:highlight w:val="none"/>
              </w:rPr>
              <w:t>1、肉类</w:t>
            </w:r>
          </w:p>
        </w:tc>
        <w:tc>
          <w:tcPr>
            <w:tcW w:w="160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35E5D25E">
            <w:pPr>
              <w:pStyle w:val="8"/>
              <w:jc w:val="center"/>
              <w:rPr>
                <w:color w:val="auto"/>
                <w:highlight w:val="none"/>
              </w:rPr>
            </w:pPr>
            <w:r>
              <w:rPr>
                <w:rFonts w:ascii="宋体" w:hAnsi="宋体" w:eastAsia="宋体" w:cs="宋体"/>
                <w:color w:val="auto"/>
                <w:sz w:val="24"/>
                <w:highlight w:val="none"/>
              </w:rPr>
              <w:t>猪肉</w:t>
            </w:r>
          </w:p>
        </w:tc>
        <w:tc>
          <w:tcPr>
            <w:tcW w:w="6217"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A61EE5E">
            <w:pPr>
              <w:pStyle w:val="8"/>
              <w:jc w:val="left"/>
              <w:rPr>
                <w:rFonts w:hint="eastAsia" w:eastAsia="宋体"/>
                <w:color w:val="auto"/>
                <w:highlight w:val="none"/>
                <w:lang w:val="en-US" w:eastAsia="zh-CN"/>
              </w:rPr>
            </w:pPr>
            <w:r>
              <w:rPr>
                <w:rFonts w:ascii="宋体" w:hAnsi="宋体" w:eastAsia="宋体" w:cs="宋体"/>
                <w:color w:val="auto"/>
                <w:sz w:val="24"/>
                <w:highlight w:val="none"/>
              </w:rPr>
              <w:t>猪里脊、猪瘦肉、猪杂骨、排骨、</w:t>
            </w:r>
            <w:r>
              <w:rPr>
                <w:rFonts w:hint="eastAsia" w:ascii="宋体" w:hAnsi="宋体" w:eastAsia="宋体" w:cs="宋体"/>
                <w:color w:val="auto"/>
                <w:sz w:val="24"/>
                <w:highlight w:val="none"/>
                <w:lang w:val="en-US" w:eastAsia="zh-CN"/>
              </w:rPr>
              <w:t>猪蹄、</w:t>
            </w:r>
            <w:r>
              <w:rPr>
                <w:rFonts w:ascii="宋体" w:hAnsi="宋体" w:eastAsia="宋体" w:cs="宋体"/>
                <w:color w:val="auto"/>
                <w:sz w:val="24"/>
                <w:highlight w:val="none"/>
              </w:rPr>
              <w:t>肋条肉</w:t>
            </w:r>
            <w:r>
              <w:rPr>
                <w:rFonts w:hint="eastAsia" w:ascii="宋体" w:hAnsi="宋体" w:eastAsia="宋体" w:cs="宋体"/>
                <w:color w:val="auto"/>
                <w:sz w:val="24"/>
                <w:highlight w:val="none"/>
                <w:lang w:val="en-US" w:eastAsia="zh-CN"/>
              </w:rPr>
              <w:t>等</w:t>
            </w:r>
          </w:p>
        </w:tc>
      </w:tr>
      <w:tr w14:paraId="530C31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vMerge w:val="continue"/>
            <w:tcBorders>
              <w:top w:val="single" w:color="auto" w:sz="4" w:space="0"/>
              <w:left w:val="single" w:color="auto" w:sz="4" w:space="0"/>
              <w:bottom w:val="single" w:color="auto" w:sz="4" w:space="0"/>
              <w:right w:val="single" w:color="auto" w:sz="4" w:space="0"/>
            </w:tcBorders>
            <w:vAlign w:val="center"/>
          </w:tcPr>
          <w:p w14:paraId="625FB370">
            <w:pPr>
              <w:jc w:val="center"/>
              <w:rPr>
                <w:color w:val="auto"/>
                <w:highlight w:val="none"/>
              </w:rPr>
            </w:pPr>
          </w:p>
        </w:tc>
        <w:tc>
          <w:tcPr>
            <w:tcW w:w="160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A7C2BFD">
            <w:pPr>
              <w:pStyle w:val="8"/>
              <w:jc w:val="center"/>
              <w:rPr>
                <w:color w:val="auto"/>
                <w:highlight w:val="none"/>
              </w:rPr>
            </w:pPr>
            <w:r>
              <w:rPr>
                <w:rFonts w:ascii="宋体" w:hAnsi="宋体" w:eastAsia="宋体" w:cs="宋体"/>
                <w:color w:val="auto"/>
                <w:sz w:val="24"/>
                <w:highlight w:val="none"/>
              </w:rPr>
              <w:t>牛、羊肉</w:t>
            </w:r>
          </w:p>
        </w:tc>
        <w:tc>
          <w:tcPr>
            <w:tcW w:w="6217"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BF9A9FD">
            <w:pPr>
              <w:pStyle w:val="8"/>
              <w:jc w:val="left"/>
              <w:rPr>
                <w:color w:val="auto"/>
                <w:highlight w:val="none"/>
              </w:rPr>
            </w:pPr>
            <w:r>
              <w:rPr>
                <w:rFonts w:ascii="宋体" w:hAnsi="宋体" w:eastAsia="宋体" w:cs="宋体"/>
                <w:color w:val="auto"/>
                <w:sz w:val="24"/>
                <w:highlight w:val="none"/>
              </w:rPr>
              <w:t>牛里脊、羊里脊、牛腱子、羊腿肉等</w:t>
            </w:r>
          </w:p>
        </w:tc>
      </w:tr>
      <w:tr w14:paraId="5653FA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vMerge w:val="continue"/>
            <w:tcBorders>
              <w:top w:val="single" w:color="auto" w:sz="4" w:space="0"/>
              <w:left w:val="single" w:color="auto" w:sz="4" w:space="0"/>
              <w:bottom w:val="single" w:color="auto" w:sz="4" w:space="0"/>
              <w:right w:val="single" w:color="auto" w:sz="4" w:space="0"/>
            </w:tcBorders>
            <w:vAlign w:val="center"/>
          </w:tcPr>
          <w:p w14:paraId="0F4FA136">
            <w:pPr>
              <w:jc w:val="center"/>
              <w:rPr>
                <w:color w:val="auto"/>
                <w:highlight w:val="none"/>
              </w:rPr>
            </w:pPr>
          </w:p>
        </w:tc>
        <w:tc>
          <w:tcPr>
            <w:tcW w:w="160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3AB5A0ED">
            <w:pPr>
              <w:pStyle w:val="8"/>
              <w:jc w:val="center"/>
              <w:rPr>
                <w:color w:val="auto"/>
                <w:highlight w:val="none"/>
              </w:rPr>
            </w:pPr>
            <w:r>
              <w:rPr>
                <w:rFonts w:ascii="宋体" w:hAnsi="宋体" w:eastAsia="宋体" w:cs="宋体"/>
                <w:color w:val="auto"/>
                <w:sz w:val="24"/>
                <w:highlight w:val="none"/>
              </w:rPr>
              <w:t>鸡、鸭肉（鲜）</w:t>
            </w:r>
          </w:p>
        </w:tc>
        <w:tc>
          <w:tcPr>
            <w:tcW w:w="6217"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9BC280E">
            <w:pPr>
              <w:pStyle w:val="8"/>
              <w:jc w:val="left"/>
              <w:rPr>
                <w:color w:val="auto"/>
                <w:highlight w:val="none"/>
              </w:rPr>
            </w:pPr>
            <w:r>
              <w:rPr>
                <w:rFonts w:ascii="宋体" w:hAnsi="宋体" w:eastAsia="宋体" w:cs="宋体"/>
                <w:color w:val="auto"/>
                <w:sz w:val="24"/>
                <w:highlight w:val="none"/>
              </w:rPr>
              <w:t>整切的鸡、鸭</w:t>
            </w:r>
            <w:r>
              <w:rPr>
                <w:rFonts w:hint="eastAsia" w:ascii="宋体" w:hAnsi="宋体" w:eastAsia="宋体" w:cs="宋体"/>
                <w:color w:val="auto"/>
                <w:sz w:val="24"/>
                <w:highlight w:val="none"/>
                <w:lang w:val="en-US" w:eastAsia="zh-CN"/>
              </w:rPr>
              <w:t>等</w:t>
            </w:r>
          </w:p>
        </w:tc>
      </w:tr>
      <w:tr w14:paraId="25DB01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vMerge w:val="continue"/>
            <w:tcBorders>
              <w:top w:val="single" w:color="auto" w:sz="4" w:space="0"/>
              <w:left w:val="single" w:color="auto" w:sz="4" w:space="0"/>
              <w:bottom w:val="single" w:color="auto" w:sz="4" w:space="0"/>
              <w:right w:val="single" w:color="auto" w:sz="4" w:space="0"/>
            </w:tcBorders>
            <w:vAlign w:val="center"/>
          </w:tcPr>
          <w:p w14:paraId="6BC947F0">
            <w:pPr>
              <w:jc w:val="center"/>
              <w:rPr>
                <w:color w:val="auto"/>
                <w:highlight w:val="none"/>
              </w:rPr>
            </w:pPr>
          </w:p>
        </w:tc>
        <w:tc>
          <w:tcPr>
            <w:tcW w:w="160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0C030459">
            <w:pPr>
              <w:pStyle w:val="8"/>
              <w:jc w:val="center"/>
              <w:rPr>
                <w:rFonts w:ascii="宋体" w:hAnsi="宋体" w:eastAsia="宋体" w:cs="宋体"/>
                <w:color w:val="auto"/>
                <w:sz w:val="24"/>
                <w:highlight w:val="none"/>
              </w:rPr>
            </w:pPr>
            <w:r>
              <w:rPr>
                <w:rFonts w:ascii="宋体" w:hAnsi="宋体" w:eastAsia="宋体" w:cs="宋体"/>
                <w:color w:val="auto"/>
                <w:sz w:val="24"/>
                <w:highlight w:val="none"/>
              </w:rPr>
              <w:t>畜禽</w:t>
            </w:r>
          </w:p>
          <w:p w14:paraId="1EF5EADA">
            <w:pPr>
              <w:pStyle w:val="8"/>
              <w:jc w:val="center"/>
              <w:rPr>
                <w:color w:val="auto"/>
                <w:highlight w:val="none"/>
              </w:rPr>
            </w:pPr>
            <w:r>
              <w:rPr>
                <w:rFonts w:ascii="宋体" w:hAnsi="宋体" w:eastAsia="宋体" w:cs="宋体"/>
                <w:color w:val="auto"/>
                <w:sz w:val="24"/>
                <w:highlight w:val="none"/>
              </w:rPr>
              <w:t>内脏类</w:t>
            </w:r>
          </w:p>
        </w:tc>
        <w:tc>
          <w:tcPr>
            <w:tcW w:w="6217"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EE0CAD3">
            <w:pPr>
              <w:pStyle w:val="8"/>
              <w:jc w:val="left"/>
              <w:rPr>
                <w:color w:val="auto"/>
                <w:highlight w:val="none"/>
              </w:rPr>
            </w:pPr>
            <w:r>
              <w:rPr>
                <w:rFonts w:ascii="宋体" w:hAnsi="宋体" w:eastAsia="宋体" w:cs="宋体"/>
                <w:color w:val="auto"/>
                <w:sz w:val="24"/>
                <w:highlight w:val="none"/>
              </w:rPr>
              <w:t>猪肝、猪肚、</w:t>
            </w:r>
            <w:r>
              <w:rPr>
                <w:rFonts w:hint="eastAsia" w:ascii="宋体" w:hAnsi="宋体" w:eastAsia="宋体" w:cs="宋体"/>
                <w:color w:val="auto"/>
                <w:sz w:val="24"/>
                <w:highlight w:val="none"/>
                <w:lang w:val="en-US" w:eastAsia="zh-CN"/>
              </w:rPr>
              <w:t>猪</w:t>
            </w:r>
            <w:r>
              <w:rPr>
                <w:rFonts w:ascii="宋体" w:hAnsi="宋体" w:eastAsia="宋体" w:cs="宋体"/>
                <w:color w:val="auto"/>
                <w:sz w:val="24"/>
                <w:highlight w:val="none"/>
              </w:rPr>
              <w:t>舌、</w:t>
            </w:r>
            <w:r>
              <w:rPr>
                <w:rFonts w:hint="eastAsia" w:ascii="宋体" w:hAnsi="宋体" w:eastAsia="宋体" w:cs="宋体"/>
                <w:color w:val="auto"/>
                <w:sz w:val="24"/>
                <w:highlight w:val="none"/>
                <w:lang w:val="en-US" w:eastAsia="zh-CN"/>
              </w:rPr>
              <w:t>猪心、牛舌、</w:t>
            </w:r>
            <w:r>
              <w:rPr>
                <w:rFonts w:ascii="宋体" w:hAnsi="宋体" w:eastAsia="宋体" w:cs="宋体"/>
                <w:color w:val="auto"/>
                <w:sz w:val="24"/>
                <w:highlight w:val="none"/>
              </w:rPr>
              <w:t>羊肾、鸡肝、鸡心、鸭肫等</w:t>
            </w:r>
          </w:p>
        </w:tc>
      </w:tr>
      <w:tr w14:paraId="6EDEAC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9E17AA0">
            <w:pPr>
              <w:pStyle w:val="8"/>
              <w:jc w:val="center"/>
              <w:rPr>
                <w:color w:val="auto"/>
                <w:highlight w:val="none"/>
              </w:rPr>
            </w:pPr>
            <w:r>
              <w:rPr>
                <w:rFonts w:ascii="宋体" w:hAnsi="宋体" w:eastAsia="宋体" w:cs="宋体"/>
                <w:color w:val="auto"/>
                <w:sz w:val="24"/>
                <w:highlight w:val="none"/>
              </w:rPr>
              <w:t>2、蔬菜类</w:t>
            </w:r>
          </w:p>
        </w:tc>
        <w:tc>
          <w:tcPr>
            <w:tcW w:w="160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5B95B50">
            <w:pPr>
              <w:pStyle w:val="8"/>
              <w:jc w:val="center"/>
              <w:rPr>
                <w:color w:val="auto"/>
                <w:highlight w:val="none"/>
              </w:rPr>
            </w:pPr>
            <w:r>
              <w:rPr>
                <w:rFonts w:ascii="宋体" w:hAnsi="宋体" w:eastAsia="宋体" w:cs="宋体"/>
                <w:color w:val="auto"/>
                <w:sz w:val="24"/>
                <w:highlight w:val="none"/>
              </w:rPr>
              <w:t>茄果类</w:t>
            </w:r>
          </w:p>
        </w:tc>
        <w:tc>
          <w:tcPr>
            <w:tcW w:w="6217"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F0F45EB">
            <w:pPr>
              <w:pStyle w:val="8"/>
              <w:jc w:val="left"/>
              <w:rPr>
                <w:rFonts w:hint="default" w:eastAsia="宋体"/>
                <w:color w:val="auto"/>
                <w:highlight w:val="none"/>
                <w:lang w:val="en-US" w:eastAsia="zh-CN"/>
              </w:rPr>
            </w:pPr>
            <w:r>
              <w:rPr>
                <w:rFonts w:ascii="宋体" w:hAnsi="宋体" w:eastAsia="宋体" w:cs="宋体"/>
                <w:color w:val="auto"/>
                <w:sz w:val="24"/>
                <w:highlight w:val="none"/>
              </w:rPr>
              <w:t>茄子、西红柿、红辣椒、青辣椒、</w:t>
            </w:r>
            <w:r>
              <w:rPr>
                <w:rFonts w:hint="eastAsia" w:ascii="宋体" w:hAnsi="宋体" w:eastAsia="宋体" w:cs="宋体"/>
                <w:color w:val="auto"/>
                <w:sz w:val="24"/>
                <w:highlight w:val="none"/>
                <w:lang w:val="en-US" w:eastAsia="zh-CN"/>
              </w:rPr>
              <w:t>甜椒、</w:t>
            </w:r>
            <w:r>
              <w:rPr>
                <w:rFonts w:ascii="宋体" w:hAnsi="宋体" w:eastAsia="宋体" w:cs="宋体"/>
                <w:color w:val="auto"/>
                <w:sz w:val="24"/>
                <w:highlight w:val="none"/>
              </w:rPr>
              <w:t>西葫芦、黄瓜、丝瓜、南瓜、</w:t>
            </w:r>
            <w:r>
              <w:rPr>
                <w:rFonts w:hint="eastAsia" w:ascii="宋体" w:hAnsi="宋体" w:eastAsia="宋体" w:cs="宋体"/>
                <w:color w:val="auto"/>
                <w:sz w:val="24"/>
                <w:highlight w:val="none"/>
                <w:lang w:val="en-US" w:eastAsia="zh-CN"/>
              </w:rPr>
              <w:t>贝贝南瓜、</w:t>
            </w:r>
            <w:r>
              <w:rPr>
                <w:rFonts w:ascii="宋体" w:hAnsi="宋体" w:eastAsia="宋体" w:cs="宋体"/>
                <w:color w:val="auto"/>
                <w:sz w:val="24"/>
                <w:highlight w:val="none"/>
              </w:rPr>
              <w:t>冬瓜、苦瓜、佛手瓜、玉米</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玉米粒、毛豆等</w:t>
            </w:r>
          </w:p>
        </w:tc>
      </w:tr>
      <w:tr w14:paraId="4EA362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vMerge w:val="continue"/>
            <w:tcBorders>
              <w:top w:val="single" w:color="auto" w:sz="4" w:space="0"/>
              <w:left w:val="single" w:color="auto" w:sz="4" w:space="0"/>
              <w:bottom w:val="single" w:color="auto" w:sz="4" w:space="0"/>
              <w:right w:val="single" w:color="auto" w:sz="4" w:space="0"/>
            </w:tcBorders>
            <w:vAlign w:val="center"/>
          </w:tcPr>
          <w:p w14:paraId="07E3F885">
            <w:pPr>
              <w:jc w:val="center"/>
              <w:rPr>
                <w:color w:val="auto"/>
                <w:highlight w:val="none"/>
              </w:rPr>
            </w:pPr>
          </w:p>
        </w:tc>
        <w:tc>
          <w:tcPr>
            <w:tcW w:w="160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4F08D114">
            <w:pPr>
              <w:pStyle w:val="8"/>
              <w:jc w:val="center"/>
              <w:rPr>
                <w:color w:val="auto"/>
                <w:highlight w:val="none"/>
              </w:rPr>
            </w:pPr>
            <w:r>
              <w:rPr>
                <w:rFonts w:ascii="宋体" w:hAnsi="宋体" w:eastAsia="宋体" w:cs="宋体"/>
                <w:color w:val="auto"/>
                <w:sz w:val="24"/>
                <w:highlight w:val="none"/>
              </w:rPr>
              <w:t>根茎</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笋</w:t>
            </w:r>
            <w:r>
              <w:rPr>
                <w:rFonts w:ascii="宋体" w:hAnsi="宋体" w:eastAsia="宋体" w:cs="宋体"/>
                <w:color w:val="auto"/>
                <w:sz w:val="24"/>
                <w:highlight w:val="none"/>
              </w:rPr>
              <w:t>类</w:t>
            </w:r>
          </w:p>
        </w:tc>
        <w:tc>
          <w:tcPr>
            <w:tcW w:w="6217"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533ABE84">
            <w:pPr>
              <w:pStyle w:val="8"/>
              <w:jc w:val="left"/>
              <w:rPr>
                <w:rFonts w:hint="default" w:eastAsia="宋体"/>
                <w:color w:val="auto"/>
                <w:highlight w:val="none"/>
                <w:lang w:val="en-US" w:eastAsia="zh-CN"/>
              </w:rPr>
            </w:pPr>
            <w:r>
              <w:rPr>
                <w:rFonts w:ascii="宋体" w:hAnsi="宋体" w:eastAsia="宋体" w:cs="宋体"/>
                <w:color w:val="auto"/>
                <w:sz w:val="24"/>
                <w:highlight w:val="none"/>
              </w:rPr>
              <w:t>白萝卜、白地瓜、、洋葱、芥菜心、茭白、地瓜、莴苣、豆芽、生姜、蒜头、莲藕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胡萝卜、水煮花生，小笋、春笋，明笋等</w:t>
            </w:r>
          </w:p>
        </w:tc>
      </w:tr>
      <w:tr w14:paraId="196FE2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vMerge w:val="continue"/>
            <w:tcBorders>
              <w:top w:val="single" w:color="auto" w:sz="4" w:space="0"/>
              <w:left w:val="single" w:color="auto" w:sz="4" w:space="0"/>
              <w:bottom w:val="single" w:color="auto" w:sz="4" w:space="0"/>
              <w:right w:val="single" w:color="auto" w:sz="4" w:space="0"/>
            </w:tcBorders>
            <w:vAlign w:val="center"/>
          </w:tcPr>
          <w:p w14:paraId="0494AC37">
            <w:pPr>
              <w:jc w:val="center"/>
              <w:rPr>
                <w:color w:val="auto"/>
                <w:highlight w:val="none"/>
              </w:rPr>
            </w:pPr>
          </w:p>
        </w:tc>
        <w:tc>
          <w:tcPr>
            <w:tcW w:w="160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EB51ADC">
            <w:pPr>
              <w:pStyle w:val="8"/>
              <w:jc w:val="center"/>
              <w:rPr>
                <w:color w:val="auto"/>
                <w:highlight w:val="none"/>
              </w:rPr>
            </w:pPr>
            <w:r>
              <w:rPr>
                <w:rFonts w:ascii="宋体" w:hAnsi="宋体" w:eastAsia="宋体" w:cs="宋体"/>
                <w:color w:val="auto"/>
                <w:sz w:val="24"/>
                <w:highlight w:val="none"/>
              </w:rPr>
              <w:t>薯芋类</w:t>
            </w:r>
          </w:p>
        </w:tc>
        <w:tc>
          <w:tcPr>
            <w:tcW w:w="6217"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C0C3C00">
            <w:pPr>
              <w:pStyle w:val="8"/>
              <w:jc w:val="left"/>
              <w:rPr>
                <w:rFonts w:hint="default" w:eastAsia="宋体"/>
                <w:color w:val="auto"/>
                <w:highlight w:val="none"/>
                <w:lang w:val="en-US" w:eastAsia="zh-CN"/>
              </w:rPr>
            </w:pPr>
            <w:r>
              <w:rPr>
                <w:rFonts w:hint="eastAsia" w:ascii="宋体" w:hAnsi="宋体" w:eastAsia="宋体" w:cs="宋体"/>
                <w:color w:val="auto"/>
                <w:sz w:val="24"/>
                <w:highlight w:val="none"/>
                <w:lang w:val="en-US" w:eastAsia="zh-CN"/>
              </w:rPr>
              <w:t>去皮</w:t>
            </w:r>
            <w:r>
              <w:rPr>
                <w:rFonts w:ascii="宋体" w:hAnsi="宋体" w:eastAsia="宋体" w:cs="宋体"/>
                <w:color w:val="auto"/>
                <w:sz w:val="24"/>
                <w:highlight w:val="none"/>
              </w:rPr>
              <w:t>山药、</w:t>
            </w:r>
            <w:r>
              <w:rPr>
                <w:rFonts w:hint="eastAsia" w:ascii="宋体" w:hAnsi="宋体" w:eastAsia="宋体" w:cs="宋体"/>
                <w:color w:val="auto"/>
                <w:sz w:val="24"/>
                <w:highlight w:val="none"/>
                <w:lang w:val="en-US" w:eastAsia="zh-CN"/>
              </w:rPr>
              <w:t>紫薯、</w:t>
            </w:r>
            <w:r>
              <w:rPr>
                <w:rFonts w:ascii="宋体" w:hAnsi="宋体" w:eastAsia="宋体" w:cs="宋体"/>
                <w:color w:val="auto"/>
                <w:sz w:val="24"/>
                <w:highlight w:val="none"/>
              </w:rPr>
              <w:t>马铃薯、芋头、</w:t>
            </w:r>
            <w:r>
              <w:rPr>
                <w:rFonts w:hint="eastAsia" w:ascii="宋体" w:hAnsi="宋体" w:eastAsia="宋体" w:cs="宋体"/>
                <w:color w:val="auto"/>
                <w:sz w:val="24"/>
                <w:highlight w:val="none"/>
                <w:lang w:val="en-US" w:eastAsia="zh-CN"/>
              </w:rPr>
              <w:t>红薯，魔芋等</w:t>
            </w:r>
          </w:p>
        </w:tc>
      </w:tr>
      <w:tr w14:paraId="5C8B50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vMerge w:val="continue"/>
            <w:tcBorders>
              <w:top w:val="single" w:color="auto" w:sz="4" w:space="0"/>
              <w:left w:val="single" w:color="auto" w:sz="4" w:space="0"/>
              <w:bottom w:val="single" w:color="auto" w:sz="4" w:space="0"/>
              <w:right w:val="single" w:color="auto" w:sz="4" w:space="0"/>
            </w:tcBorders>
            <w:vAlign w:val="center"/>
          </w:tcPr>
          <w:p w14:paraId="2A211315">
            <w:pPr>
              <w:jc w:val="center"/>
              <w:rPr>
                <w:color w:val="auto"/>
                <w:highlight w:val="none"/>
              </w:rPr>
            </w:pPr>
          </w:p>
        </w:tc>
        <w:tc>
          <w:tcPr>
            <w:tcW w:w="160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15FAEEC9">
            <w:pPr>
              <w:pStyle w:val="8"/>
              <w:jc w:val="center"/>
              <w:rPr>
                <w:color w:val="auto"/>
                <w:highlight w:val="none"/>
              </w:rPr>
            </w:pPr>
            <w:r>
              <w:rPr>
                <w:rFonts w:ascii="宋体" w:hAnsi="宋体" w:eastAsia="宋体" w:cs="宋体"/>
                <w:color w:val="auto"/>
                <w:sz w:val="24"/>
                <w:highlight w:val="none"/>
              </w:rPr>
              <w:t>浅色叶花茎类菜</w:t>
            </w:r>
          </w:p>
        </w:tc>
        <w:tc>
          <w:tcPr>
            <w:tcW w:w="6217"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DEF5396">
            <w:pPr>
              <w:pStyle w:val="8"/>
              <w:jc w:val="left"/>
              <w:rPr>
                <w:rFonts w:hint="default" w:eastAsia="宋体"/>
                <w:color w:val="auto"/>
                <w:highlight w:val="none"/>
                <w:lang w:val="en-US" w:eastAsia="zh-CN"/>
              </w:rPr>
            </w:pPr>
            <w:r>
              <w:rPr>
                <w:rFonts w:ascii="宋体" w:hAnsi="宋体" w:eastAsia="宋体" w:cs="宋体"/>
                <w:color w:val="auto"/>
                <w:sz w:val="24"/>
                <w:highlight w:val="none"/>
              </w:rPr>
              <w:t>大白菜（娃娃菜）、包菜、花菜</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西兰花、快白等</w:t>
            </w:r>
          </w:p>
        </w:tc>
      </w:tr>
      <w:tr w14:paraId="58D5AD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vMerge w:val="continue"/>
            <w:tcBorders>
              <w:top w:val="single" w:color="auto" w:sz="4" w:space="0"/>
              <w:left w:val="single" w:color="auto" w:sz="4" w:space="0"/>
              <w:bottom w:val="single" w:color="auto" w:sz="4" w:space="0"/>
              <w:right w:val="single" w:color="auto" w:sz="4" w:space="0"/>
            </w:tcBorders>
            <w:vAlign w:val="center"/>
          </w:tcPr>
          <w:p w14:paraId="45327596">
            <w:pPr>
              <w:jc w:val="center"/>
              <w:rPr>
                <w:color w:val="auto"/>
                <w:highlight w:val="none"/>
              </w:rPr>
            </w:pPr>
          </w:p>
        </w:tc>
        <w:tc>
          <w:tcPr>
            <w:tcW w:w="160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0449DAB">
            <w:pPr>
              <w:pStyle w:val="8"/>
              <w:jc w:val="center"/>
              <w:rPr>
                <w:color w:val="auto"/>
                <w:highlight w:val="none"/>
              </w:rPr>
            </w:pPr>
            <w:r>
              <w:rPr>
                <w:rFonts w:ascii="宋体" w:hAnsi="宋体" w:eastAsia="宋体" w:cs="宋体"/>
                <w:color w:val="auto"/>
                <w:sz w:val="24"/>
                <w:highlight w:val="none"/>
              </w:rPr>
              <w:t>深色叶花茎类菜</w:t>
            </w:r>
          </w:p>
        </w:tc>
        <w:tc>
          <w:tcPr>
            <w:tcW w:w="6217"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98BFB79">
            <w:pPr>
              <w:pStyle w:val="8"/>
              <w:jc w:val="left"/>
              <w:rPr>
                <w:rFonts w:hint="default" w:eastAsia="宋体"/>
                <w:color w:val="auto"/>
                <w:highlight w:val="none"/>
                <w:lang w:val="en-US" w:eastAsia="zh-CN"/>
              </w:rPr>
            </w:pPr>
            <w:r>
              <w:rPr>
                <w:rFonts w:ascii="宋体" w:hAnsi="宋体" w:eastAsia="宋体" w:cs="宋体"/>
                <w:color w:val="auto"/>
                <w:sz w:val="24"/>
                <w:highlight w:val="none"/>
              </w:rPr>
              <w:t>生菜、芹菜、青菜、油麦菜、蒜台、葱、叶蒜、菠菜、香菜</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空心菜等</w:t>
            </w:r>
          </w:p>
        </w:tc>
      </w:tr>
      <w:tr w14:paraId="524698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vMerge w:val="continue"/>
            <w:tcBorders>
              <w:top w:val="single" w:color="auto" w:sz="4" w:space="0"/>
              <w:left w:val="single" w:color="auto" w:sz="4" w:space="0"/>
              <w:bottom w:val="single" w:color="auto" w:sz="4" w:space="0"/>
              <w:right w:val="single" w:color="auto" w:sz="4" w:space="0"/>
            </w:tcBorders>
            <w:vAlign w:val="center"/>
          </w:tcPr>
          <w:p w14:paraId="59DC5F82">
            <w:pPr>
              <w:jc w:val="center"/>
              <w:rPr>
                <w:color w:val="auto"/>
                <w:highlight w:val="none"/>
              </w:rPr>
            </w:pPr>
          </w:p>
        </w:tc>
        <w:tc>
          <w:tcPr>
            <w:tcW w:w="160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7D339CE9">
            <w:pPr>
              <w:pStyle w:val="8"/>
              <w:jc w:val="center"/>
              <w:rPr>
                <w:color w:val="auto"/>
                <w:highlight w:val="none"/>
              </w:rPr>
            </w:pPr>
            <w:r>
              <w:rPr>
                <w:rFonts w:ascii="宋体" w:hAnsi="宋体" w:eastAsia="宋体" w:cs="宋体"/>
                <w:color w:val="auto"/>
                <w:sz w:val="24"/>
                <w:highlight w:val="none"/>
              </w:rPr>
              <w:t>蘑菇类</w:t>
            </w:r>
          </w:p>
        </w:tc>
        <w:tc>
          <w:tcPr>
            <w:tcW w:w="6217"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C5D048D">
            <w:pPr>
              <w:pStyle w:val="8"/>
              <w:jc w:val="left"/>
              <w:rPr>
                <w:rFonts w:hint="default" w:eastAsia="宋体"/>
                <w:color w:val="auto"/>
                <w:highlight w:val="none"/>
                <w:lang w:val="en-US" w:eastAsia="zh-CN"/>
              </w:rPr>
            </w:pPr>
            <w:r>
              <w:rPr>
                <w:rFonts w:ascii="宋体" w:hAnsi="宋体" w:eastAsia="宋体" w:cs="宋体"/>
                <w:color w:val="auto"/>
                <w:sz w:val="24"/>
                <w:highlight w:val="none"/>
              </w:rPr>
              <w:t>鲜香菇、凤尾菇、雪茸菇、金针菇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杏鲍菇、口蘑等</w:t>
            </w:r>
          </w:p>
        </w:tc>
      </w:tr>
      <w:tr w14:paraId="6A7E59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343" w:type="dxa"/>
            <w:vMerge w:val="restart"/>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2977AB12">
            <w:pPr>
              <w:pStyle w:val="8"/>
              <w:jc w:val="center"/>
              <w:rPr>
                <w:color w:val="auto"/>
                <w:highlight w:val="none"/>
              </w:rPr>
            </w:pPr>
            <w:r>
              <w:rPr>
                <w:rFonts w:ascii="宋体" w:hAnsi="宋体" w:eastAsia="宋体" w:cs="宋体"/>
                <w:color w:val="auto"/>
                <w:sz w:val="24"/>
                <w:highlight w:val="none"/>
              </w:rPr>
              <w:t>3、水产类</w:t>
            </w:r>
          </w:p>
        </w:tc>
        <w:tc>
          <w:tcPr>
            <w:tcW w:w="1608"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321BA2A7">
            <w:pPr>
              <w:pStyle w:val="8"/>
              <w:jc w:val="center"/>
              <w:rPr>
                <w:color w:val="auto"/>
                <w:highlight w:val="none"/>
              </w:rPr>
            </w:pPr>
            <w:r>
              <w:rPr>
                <w:rFonts w:ascii="宋体" w:hAnsi="宋体" w:eastAsia="宋体" w:cs="宋体"/>
                <w:color w:val="auto"/>
                <w:sz w:val="24"/>
                <w:highlight w:val="none"/>
              </w:rPr>
              <w:t>鱼类</w:t>
            </w:r>
          </w:p>
        </w:tc>
        <w:tc>
          <w:tcPr>
            <w:tcW w:w="6217"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D5D588B">
            <w:pPr>
              <w:pStyle w:val="8"/>
              <w:jc w:val="left"/>
              <w:rPr>
                <w:color w:val="auto"/>
                <w:highlight w:val="none"/>
              </w:rPr>
            </w:pPr>
            <w:r>
              <w:rPr>
                <w:rFonts w:ascii="宋体" w:hAnsi="宋体" w:eastAsia="宋体" w:cs="宋体"/>
                <w:color w:val="auto"/>
                <w:sz w:val="24"/>
                <w:highlight w:val="none"/>
              </w:rPr>
              <w:t>鲤鱼、草鱼、鲢鱼、鳙鱼、黄花鱼、鲳鱼、鲈鱼等</w:t>
            </w:r>
          </w:p>
        </w:tc>
      </w:tr>
      <w:tr w14:paraId="668A75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vMerge w:val="continue"/>
            <w:tcBorders>
              <w:top w:val="single" w:color="auto" w:sz="4" w:space="0"/>
              <w:left w:val="single" w:color="auto" w:sz="4" w:space="0"/>
              <w:bottom w:val="single" w:color="000000" w:sz="4" w:space="0"/>
              <w:right w:val="single" w:color="000000" w:sz="4" w:space="0"/>
            </w:tcBorders>
            <w:vAlign w:val="center"/>
          </w:tcPr>
          <w:p w14:paraId="1FD75003">
            <w:pPr>
              <w:jc w:val="center"/>
              <w:rPr>
                <w:color w:val="auto"/>
                <w:highlight w:val="none"/>
              </w:rPr>
            </w:pPr>
          </w:p>
        </w:tc>
        <w:tc>
          <w:tcPr>
            <w:tcW w:w="1608" w:type="dxa"/>
            <w:tcBorders>
              <w:top w:val="single" w:color="auto" w:sz="4" w:space="0"/>
              <w:left w:val="nil"/>
              <w:bottom w:val="single" w:color="000000" w:sz="4" w:space="0"/>
              <w:right w:val="single" w:color="000000" w:sz="4" w:space="0"/>
            </w:tcBorders>
            <w:tcMar>
              <w:top w:w="0" w:type="dxa"/>
              <w:left w:w="105" w:type="dxa"/>
              <w:bottom w:w="0" w:type="dxa"/>
              <w:right w:w="105" w:type="dxa"/>
            </w:tcMar>
            <w:vAlign w:val="center"/>
          </w:tcPr>
          <w:p w14:paraId="31B656D9">
            <w:pPr>
              <w:pStyle w:val="8"/>
              <w:jc w:val="center"/>
              <w:rPr>
                <w:color w:val="auto"/>
                <w:highlight w:val="none"/>
              </w:rPr>
            </w:pPr>
            <w:r>
              <w:rPr>
                <w:rFonts w:ascii="宋体" w:hAnsi="宋体" w:eastAsia="宋体" w:cs="宋体"/>
                <w:color w:val="auto"/>
                <w:sz w:val="24"/>
                <w:highlight w:val="none"/>
              </w:rPr>
              <w:t>虾蟹贝类</w:t>
            </w:r>
          </w:p>
        </w:tc>
        <w:tc>
          <w:tcPr>
            <w:tcW w:w="6217" w:type="dxa"/>
            <w:tcBorders>
              <w:top w:val="single" w:color="auto" w:sz="4" w:space="0"/>
              <w:left w:val="nil"/>
              <w:bottom w:val="single" w:color="000000" w:sz="4" w:space="0"/>
              <w:right w:val="single" w:color="000000" w:sz="4" w:space="0"/>
            </w:tcBorders>
            <w:tcMar>
              <w:top w:w="0" w:type="dxa"/>
              <w:left w:w="105" w:type="dxa"/>
              <w:bottom w:w="0" w:type="dxa"/>
              <w:right w:w="105" w:type="dxa"/>
            </w:tcMar>
            <w:vAlign w:val="top"/>
          </w:tcPr>
          <w:p w14:paraId="62BCC5F7">
            <w:pPr>
              <w:pStyle w:val="8"/>
              <w:jc w:val="left"/>
              <w:rPr>
                <w:color w:val="auto"/>
                <w:highlight w:val="none"/>
              </w:rPr>
            </w:pPr>
            <w:r>
              <w:rPr>
                <w:rFonts w:ascii="宋体" w:hAnsi="宋体" w:eastAsia="宋体" w:cs="宋体"/>
                <w:color w:val="auto"/>
                <w:sz w:val="24"/>
                <w:highlight w:val="none"/>
              </w:rPr>
              <w:t>河虾、海虾、河蟹、海蟹、河蚌、蛤蜊、蛏子、花蛤</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海蜊</w:t>
            </w:r>
            <w:r>
              <w:rPr>
                <w:rFonts w:ascii="宋体" w:hAnsi="宋体" w:eastAsia="宋体" w:cs="宋体"/>
                <w:color w:val="auto"/>
                <w:sz w:val="24"/>
                <w:highlight w:val="none"/>
              </w:rPr>
              <w:t>等</w:t>
            </w:r>
          </w:p>
        </w:tc>
      </w:tr>
      <w:tr w14:paraId="60E438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CCE41E1">
            <w:pPr>
              <w:pStyle w:val="8"/>
              <w:jc w:val="center"/>
              <w:rPr>
                <w:color w:val="auto"/>
                <w:highlight w:val="none"/>
              </w:rPr>
            </w:pPr>
            <w:r>
              <w:rPr>
                <w:rFonts w:ascii="宋体" w:hAnsi="宋体" w:eastAsia="宋体" w:cs="宋体"/>
                <w:color w:val="auto"/>
                <w:sz w:val="24"/>
                <w:highlight w:val="none"/>
              </w:rPr>
              <w:t>4、谷类</w:t>
            </w:r>
          </w:p>
        </w:tc>
        <w:tc>
          <w:tcPr>
            <w:tcW w:w="1608"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EB52852">
            <w:pPr>
              <w:pStyle w:val="8"/>
              <w:jc w:val="center"/>
              <w:rPr>
                <w:color w:val="auto"/>
                <w:highlight w:val="none"/>
              </w:rPr>
            </w:pPr>
            <w:r>
              <w:rPr>
                <w:rFonts w:ascii="宋体" w:hAnsi="宋体" w:eastAsia="宋体" w:cs="宋体"/>
                <w:color w:val="auto"/>
                <w:sz w:val="24"/>
                <w:highlight w:val="none"/>
              </w:rPr>
              <w:t>豆类</w:t>
            </w:r>
          </w:p>
        </w:tc>
        <w:tc>
          <w:tcPr>
            <w:tcW w:w="62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32B302">
            <w:pPr>
              <w:pStyle w:val="8"/>
              <w:jc w:val="left"/>
              <w:rPr>
                <w:rFonts w:hint="default" w:eastAsia="宋体"/>
                <w:color w:val="auto"/>
                <w:highlight w:val="none"/>
                <w:lang w:val="en-US" w:eastAsia="zh-CN"/>
              </w:rPr>
            </w:pPr>
            <w:r>
              <w:rPr>
                <w:rFonts w:ascii="宋体" w:hAnsi="宋体" w:eastAsia="宋体" w:cs="宋体"/>
                <w:color w:val="auto"/>
                <w:sz w:val="24"/>
                <w:highlight w:val="none"/>
              </w:rPr>
              <w:t>黄豆粉、水豆腐、豆皮（豆腐干、豆腐丝、素鸡、素什锦、腐竹）、无糖豆</w:t>
            </w:r>
            <w:r>
              <w:rPr>
                <w:rFonts w:ascii="宋体" w:hAnsi="宋体" w:eastAsia="宋体" w:cs="宋体"/>
                <w:color w:val="auto"/>
                <w:sz w:val="24"/>
                <w:highlight w:val="none"/>
                <w:shd w:val="clear"/>
              </w:rPr>
              <w:t>浆</w:t>
            </w:r>
            <w:r>
              <w:rPr>
                <w:rFonts w:hint="eastAsia" w:ascii="宋体" w:hAnsi="宋体" w:eastAsia="宋体" w:cs="宋体"/>
                <w:color w:val="auto"/>
                <w:sz w:val="24"/>
                <w:highlight w:val="none"/>
                <w:shd w:val="clear"/>
                <w:lang w:eastAsia="zh-CN"/>
              </w:rPr>
              <w:t>、</w:t>
            </w:r>
            <w:r>
              <w:rPr>
                <w:rFonts w:hint="eastAsia" w:ascii="宋体" w:hAnsi="宋体" w:eastAsia="宋体" w:cs="宋体"/>
                <w:color w:val="auto"/>
                <w:sz w:val="24"/>
                <w:highlight w:val="none"/>
                <w:shd w:val="clear"/>
                <w:lang w:val="en-US" w:eastAsia="zh-CN"/>
              </w:rPr>
              <w:t>游浆豆腐、香干</w:t>
            </w:r>
            <w:r>
              <w:rPr>
                <w:rFonts w:hint="eastAsia" w:ascii="宋体" w:hAnsi="宋体" w:eastAsia="宋体" w:cs="宋体"/>
                <w:color w:val="auto"/>
                <w:sz w:val="24"/>
                <w:highlight w:val="none"/>
                <w:lang w:val="en-US" w:eastAsia="zh-CN"/>
              </w:rPr>
              <w:t>等</w:t>
            </w:r>
          </w:p>
        </w:tc>
      </w:tr>
      <w:tr w14:paraId="70A6DA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vMerge w:val="continue"/>
            <w:tcBorders>
              <w:top w:val="nil"/>
              <w:left w:val="single" w:color="000000" w:sz="4" w:space="0"/>
              <w:bottom w:val="single" w:color="000000" w:sz="4" w:space="0"/>
              <w:right w:val="single" w:color="000000" w:sz="4" w:space="0"/>
            </w:tcBorders>
            <w:vAlign w:val="center"/>
          </w:tcPr>
          <w:p w14:paraId="689D8303">
            <w:pPr>
              <w:jc w:val="center"/>
              <w:rPr>
                <w:color w:val="auto"/>
                <w:highlight w:val="none"/>
              </w:rPr>
            </w:pPr>
          </w:p>
        </w:tc>
        <w:tc>
          <w:tcPr>
            <w:tcW w:w="1608"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1C45F3C">
            <w:pPr>
              <w:pStyle w:val="8"/>
              <w:jc w:val="center"/>
              <w:rPr>
                <w:color w:val="auto"/>
                <w:highlight w:val="none"/>
              </w:rPr>
            </w:pPr>
            <w:r>
              <w:rPr>
                <w:rFonts w:ascii="宋体" w:hAnsi="宋体" w:eastAsia="宋体" w:cs="宋体"/>
                <w:color w:val="auto"/>
                <w:sz w:val="24"/>
                <w:highlight w:val="none"/>
              </w:rPr>
              <w:t>主食制品</w:t>
            </w:r>
          </w:p>
        </w:tc>
        <w:tc>
          <w:tcPr>
            <w:tcW w:w="62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93FCD">
            <w:pPr>
              <w:pStyle w:val="8"/>
              <w:jc w:val="left"/>
              <w:rPr>
                <w:color w:val="auto"/>
                <w:highlight w:val="none"/>
              </w:rPr>
            </w:pPr>
            <w:r>
              <w:rPr>
                <w:rFonts w:ascii="宋体" w:hAnsi="宋体" w:eastAsia="宋体" w:cs="宋体"/>
                <w:color w:val="auto"/>
                <w:sz w:val="24"/>
                <w:highlight w:val="none"/>
              </w:rPr>
              <w:t>馒头、花卷、大饼、烧饼、面条等（不包括干面条）</w:t>
            </w:r>
            <w:r>
              <w:rPr>
                <w:rFonts w:hint="eastAsia" w:ascii="宋体" w:hAnsi="宋体" w:eastAsia="宋体" w:cs="宋体"/>
                <w:color w:val="auto"/>
                <w:sz w:val="24"/>
                <w:highlight w:val="none"/>
                <w:lang w:val="en-US" w:eastAsia="zh-CN"/>
              </w:rPr>
              <w:t>等</w:t>
            </w:r>
          </w:p>
        </w:tc>
      </w:tr>
      <w:tr w14:paraId="49C939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vMerge w:val="continue"/>
            <w:tcBorders>
              <w:top w:val="nil"/>
              <w:left w:val="single" w:color="000000" w:sz="4" w:space="0"/>
              <w:bottom w:val="single" w:color="000000" w:sz="4" w:space="0"/>
              <w:right w:val="single" w:color="000000" w:sz="4" w:space="0"/>
            </w:tcBorders>
            <w:vAlign w:val="center"/>
          </w:tcPr>
          <w:p w14:paraId="5BB25A68">
            <w:pPr>
              <w:jc w:val="center"/>
              <w:rPr>
                <w:color w:val="auto"/>
                <w:highlight w:val="none"/>
              </w:rPr>
            </w:pPr>
          </w:p>
        </w:tc>
        <w:tc>
          <w:tcPr>
            <w:tcW w:w="1608"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4FE911A">
            <w:pPr>
              <w:pStyle w:val="8"/>
              <w:jc w:val="center"/>
              <w:rPr>
                <w:color w:val="auto"/>
                <w:highlight w:val="none"/>
              </w:rPr>
            </w:pPr>
            <w:r>
              <w:rPr>
                <w:rFonts w:ascii="宋体" w:hAnsi="宋体" w:eastAsia="宋体" w:cs="宋体"/>
                <w:color w:val="auto"/>
                <w:sz w:val="24"/>
                <w:highlight w:val="none"/>
              </w:rPr>
              <w:t>谷物</w:t>
            </w:r>
          </w:p>
        </w:tc>
        <w:tc>
          <w:tcPr>
            <w:tcW w:w="62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0DC872">
            <w:pPr>
              <w:pStyle w:val="8"/>
              <w:jc w:val="left"/>
              <w:rPr>
                <w:color w:val="auto"/>
                <w:highlight w:val="none"/>
              </w:rPr>
            </w:pPr>
            <w:r>
              <w:rPr>
                <w:rFonts w:ascii="宋体" w:hAnsi="宋体" w:eastAsia="宋体" w:cs="宋体"/>
                <w:color w:val="auto"/>
                <w:sz w:val="24"/>
                <w:highlight w:val="none"/>
              </w:rPr>
              <w:t>玉米粒（干）、高粱米、小米、荞麦、黄米、燕麦、藜麦、青稞等</w:t>
            </w:r>
          </w:p>
        </w:tc>
      </w:tr>
      <w:tr w14:paraId="027372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7D803ED">
            <w:pPr>
              <w:pStyle w:val="8"/>
              <w:jc w:val="center"/>
              <w:rPr>
                <w:color w:val="auto"/>
                <w:highlight w:val="none"/>
              </w:rPr>
            </w:pPr>
            <w:r>
              <w:rPr>
                <w:rFonts w:ascii="宋体" w:hAnsi="宋体" w:eastAsia="宋体" w:cs="宋体"/>
                <w:color w:val="auto"/>
                <w:sz w:val="24"/>
                <w:highlight w:val="none"/>
              </w:rPr>
              <w:t>5、糕点</w:t>
            </w:r>
          </w:p>
        </w:tc>
        <w:tc>
          <w:tcPr>
            <w:tcW w:w="1608"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46F7890">
            <w:pPr>
              <w:pStyle w:val="8"/>
              <w:jc w:val="center"/>
              <w:rPr>
                <w:color w:val="auto"/>
                <w:highlight w:val="none"/>
              </w:rPr>
            </w:pPr>
            <w:r>
              <w:rPr>
                <w:rFonts w:ascii="宋体" w:hAnsi="宋体" w:eastAsia="宋体" w:cs="宋体"/>
                <w:color w:val="auto"/>
                <w:sz w:val="24"/>
                <w:highlight w:val="none"/>
              </w:rPr>
              <w:t>糕点</w:t>
            </w:r>
          </w:p>
        </w:tc>
        <w:tc>
          <w:tcPr>
            <w:tcW w:w="62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1F9597">
            <w:pPr>
              <w:pStyle w:val="8"/>
              <w:jc w:val="left"/>
              <w:rPr>
                <w:color w:val="auto"/>
                <w:highlight w:val="none"/>
              </w:rPr>
            </w:pPr>
            <w:r>
              <w:rPr>
                <w:rFonts w:ascii="宋体" w:hAnsi="宋体" w:eastAsia="宋体" w:cs="宋体"/>
                <w:color w:val="auto"/>
                <w:sz w:val="24"/>
                <w:highlight w:val="none"/>
              </w:rPr>
              <w:t>面包、蛋糕</w:t>
            </w:r>
            <w:r>
              <w:rPr>
                <w:rFonts w:hint="eastAsia" w:ascii="宋体" w:hAnsi="宋体" w:eastAsia="宋体" w:cs="宋体"/>
                <w:color w:val="auto"/>
                <w:sz w:val="24"/>
                <w:highlight w:val="none"/>
                <w:lang w:val="en-US" w:eastAsia="zh-CN"/>
              </w:rPr>
              <w:t>等</w:t>
            </w:r>
          </w:p>
        </w:tc>
      </w:tr>
      <w:tr w14:paraId="16C5D7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C8254EB">
            <w:pPr>
              <w:pStyle w:val="8"/>
              <w:jc w:val="center"/>
              <w:rPr>
                <w:color w:val="auto"/>
                <w:highlight w:val="none"/>
              </w:rPr>
            </w:pPr>
            <w:r>
              <w:rPr>
                <w:rFonts w:ascii="宋体" w:hAnsi="宋体" w:eastAsia="宋体" w:cs="宋体"/>
                <w:color w:val="auto"/>
                <w:sz w:val="24"/>
                <w:highlight w:val="none"/>
              </w:rPr>
              <w:t>6、咸菜类</w:t>
            </w:r>
          </w:p>
        </w:tc>
        <w:tc>
          <w:tcPr>
            <w:tcW w:w="1608"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32CC69F">
            <w:pPr>
              <w:pStyle w:val="8"/>
              <w:jc w:val="center"/>
              <w:rPr>
                <w:color w:val="auto"/>
                <w:highlight w:val="none"/>
              </w:rPr>
            </w:pPr>
            <w:r>
              <w:rPr>
                <w:rFonts w:ascii="宋体" w:hAnsi="宋体" w:eastAsia="宋体" w:cs="宋体"/>
                <w:color w:val="auto"/>
                <w:sz w:val="24"/>
                <w:highlight w:val="none"/>
              </w:rPr>
              <w:t>咸菜</w:t>
            </w:r>
          </w:p>
        </w:tc>
        <w:tc>
          <w:tcPr>
            <w:tcW w:w="62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24E8D4">
            <w:pPr>
              <w:pStyle w:val="8"/>
              <w:jc w:val="left"/>
              <w:rPr>
                <w:color w:val="auto"/>
                <w:highlight w:val="none"/>
              </w:rPr>
            </w:pPr>
            <w:r>
              <w:rPr>
                <w:rFonts w:ascii="宋体" w:hAnsi="宋体" w:eastAsia="宋体" w:cs="宋体"/>
                <w:color w:val="auto"/>
                <w:sz w:val="24"/>
                <w:highlight w:val="none"/>
              </w:rPr>
              <w:t>榨菜、酱八宝菜、腌雪里蕻、腌萝卜干等</w:t>
            </w:r>
          </w:p>
        </w:tc>
      </w:tr>
      <w:tr w14:paraId="646FCF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tcBorders>
              <w:top w:val="nil"/>
              <w:left w:val="single" w:color="000000" w:sz="4" w:space="0"/>
              <w:bottom w:val="single" w:color="000000" w:sz="4" w:space="0"/>
              <w:right w:val="single" w:color="000000" w:sz="4" w:space="0"/>
            </w:tcBorders>
            <w:shd w:val="clear" w:color="auto" w:fill="auto"/>
            <w:tcMar>
              <w:top w:w="0" w:type="dxa"/>
              <w:left w:w="105" w:type="dxa"/>
              <w:bottom w:w="0" w:type="dxa"/>
              <w:right w:w="105" w:type="dxa"/>
            </w:tcMar>
            <w:vAlign w:val="center"/>
          </w:tcPr>
          <w:p w14:paraId="4C123C64">
            <w:pPr>
              <w:pStyle w:val="8"/>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7、禽蛋类</w:t>
            </w:r>
          </w:p>
        </w:tc>
        <w:tc>
          <w:tcPr>
            <w:tcW w:w="1608" w:type="dxa"/>
            <w:tcBorders>
              <w:top w:val="nil"/>
              <w:left w:val="nil"/>
              <w:bottom w:val="single" w:color="000000" w:sz="4" w:space="0"/>
              <w:right w:val="single" w:color="000000" w:sz="4" w:space="0"/>
            </w:tcBorders>
            <w:shd w:val="clear" w:color="auto" w:fill="auto"/>
            <w:tcMar>
              <w:top w:w="0" w:type="dxa"/>
              <w:left w:w="105" w:type="dxa"/>
              <w:bottom w:w="0" w:type="dxa"/>
              <w:right w:w="105" w:type="dxa"/>
            </w:tcMar>
            <w:vAlign w:val="center"/>
          </w:tcPr>
          <w:p w14:paraId="53EE117D">
            <w:pPr>
              <w:pStyle w:val="8"/>
              <w:jc w:val="center"/>
              <w:rPr>
                <w:rFonts w:ascii="宋体" w:hAnsi="宋体" w:eastAsia="宋体" w:cs="宋体"/>
                <w:color w:val="auto"/>
                <w:sz w:val="24"/>
                <w:highlight w:val="none"/>
              </w:rPr>
            </w:pPr>
          </w:p>
        </w:tc>
        <w:tc>
          <w:tcPr>
            <w:tcW w:w="6217" w:type="dxa"/>
            <w:tcBorders>
              <w:top w:val="nil"/>
              <w:left w:val="nil"/>
              <w:bottom w:val="single" w:color="000000" w:sz="4" w:space="0"/>
              <w:right w:val="single" w:color="000000" w:sz="4" w:space="0"/>
            </w:tcBorders>
            <w:shd w:val="clear" w:color="auto" w:fill="auto"/>
            <w:tcMar>
              <w:top w:w="0" w:type="dxa"/>
              <w:left w:w="105" w:type="dxa"/>
              <w:bottom w:w="0" w:type="dxa"/>
              <w:right w:w="105" w:type="dxa"/>
            </w:tcMar>
            <w:vAlign w:val="top"/>
          </w:tcPr>
          <w:p w14:paraId="3E7F7B6F">
            <w:pPr>
              <w:rPr>
                <w:rFonts w:hint="default" w:eastAsiaTheme="minorEastAsia"/>
                <w:color w:val="auto"/>
                <w:highlight w:val="none"/>
                <w:lang w:val="en-US" w:eastAsia="zh-CN"/>
              </w:rPr>
            </w:pPr>
            <w:r>
              <w:rPr>
                <w:rFonts w:hint="eastAsia"/>
                <w:color w:val="auto"/>
                <w:highlight w:val="none"/>
              </w:rPr>
              <w:t>鸡蛋 （红壳一级)</w:t>
            </w:r>
            <w:r>
              <w:rPr>
                <w:rFonts w:hint="eastAsia"/>
                <w:color w:val="auto"/>
                <w:highlight w:val="none"/>
              </w:rPr>
              <w:tab/>
            </w:r>
            <w:r>
              <w:rPr>
                <w:rFonts w:hint="eastAsia"/>
                <w:color w:val="auto"/>
                <w:highlight w:val="none"/>
              </w:rPr>
              <w:t>500g</w:t>
            </w:r>
            <w:r>
              <w:rPr>
                <w:rFonts w:hint="eastAsia"/>
                <w:color w:val="auto"/>
                <w:highlight w:val="none"/>
              </w:rPr>
              <w:tab/>
            </w:r>
            <w:r>
              <w:rPr>
                <w:rFonts w:hint="eastAsia"/>
                <w:color w:val="auto"/>
                <w:highlight w:val="none"/>
                <w:lang w:val="en-US" w:eastAsia="zh-CN"/>
              </w:rPr>
              <w:t xml:space="preserve">  鸭蛋、鹌鹑蛋、咸鸭蛋等</w:t>
            </w:r>
          </w:p>
          <w:p w14:paraId="620EDC65">
            <w:pPr>
              <w:pStyle w:val="8"/>
              <w:jc w:val="left"/>
              <w:rPr>
                <w:rFonts w:ascii="宋体" w:hAnsi="宋体" w:eastAsia="宋体" w:cs="宋体"/>
                <w:color w:val="auto"/>
                <w:sz w:val="24"/>
                <w:highlight w:val="none"/>
              </w:rPr>
            </w:pPr>
          </w:p>
        </w:tc>
      </w:tr>
      <w:tr w14:paraId="5E7329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tcBorders>
              <w:top w:val="nil"/>
              <w:left w:val="single" w:color="000000" w:sz="4" w:space="0"/>
              <w:bottom w:val="single" w:color="000000" w:sz="4" w:space="0"/>
              <w:right w:val="single" w:color="000000" w:sz="4" w:space="0"/>
            </w:tcBorders>
            <w:shd w:val="clear" w:color="auto" w:fill="auto"/>
            <w:tcMar>
              <w:top w:w="0" w:type="dxa"/>
              <w:left w:w="105" w:type="dxa"/>
              <w:bottom w:w="0" w:type="dxa"/>
              <w:right w:w="105" w:type="dxa"/>
            </w:tcMar>
            <w:vAlign w:val="center"/>
          </w:tcPr>
          <w:p w14:paraId="40798BE0">
            <w:pPr>
              <w:pStyle w:val="8"/>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8.丸子类</w:t>
            </w:r>
          </w:p>
        </w:tc>
        <w:tc>
          <w:tcPr>
            <w:tcW w:w="1608" w:type="dxa"/>
            <w:tcBorders>
              <w:top w:val="nil"/>
              <w:left w:val="nil"/>
              <w:bottom w:val="single" w:color="000000" w:sz="4" w:space="0"/>
              <w:right w:val="single" w:color="000000" w:sz="4" w:space="0"/>
            </w:tcBorders>
            <w:shd w:val="clear" w:color="auto" w:fill="auto"/>
            <w:tcMar>
              <w:top w:w="0" w:type="dxa"/>
              <w:left w:w="105" w:type="dxa"/>
              <w:bottom w:w="0" w:type="dxa"/>
              <w:right w:w="105" w:type="dxa"/>
            </w:tcMar>
            <w:vAlign w:val="center"/>
          </w:tcPr>
          <w:p w14:paraId="595C5797">
            <w:pPr>
              <w:pStyle w:val="8"/>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手工制品</w:t>
            </w:r>
          </w:p>
        </w:tc>
        <w:tc>
          <w:tcPr>
            <w:tcW w:w="6217" w:type="dxa"/>
            <w:tcBorders>
              <w:top w:val="nil"/>
              <w:left w:val="nil"/>
              <w:bottom w:val="single" w:color="000000" w:sz="4" w:space="0"/>
              <w:right w:val="single" w:color="000000" w:sz="4" w:space="0"/>
            </w:tcBorders>
            <w:shd w:val="clear" w:color="auto" w:fill="auto"/>
            <w:tcMar>
              <w:top w:w="0" w:type="dxa"/>
              <w:left w:w="105" w:type="dxa"/>
              <w:bottom w:w="0" w:type="dxa"/>
              <w:right w:w="105" w:type="dxa"/>
            </w:tcMar>
            <w:vAlign w:val="top"/>
          </w:tcPr>
          <w:p w14:paraId="68A587B7">
            <w:pPr>
              <w:pStyle w:val="8"/>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手工鱼丸、手工肉丸、大米丸子、虾糕、汤圆、肉燕等</w:t>
            </w:r>
          </w:p>
        </w:tc>
      </w:tr>
      <w:tr w14:paraId="0C3FF9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43" w:type="dxa"/>
            <w:tcBorders>
              <w:top w:val="nil"/>
              <w:left w:val="single" w:color="000000" w:sz="4" w:space="0"/>
              <w:bottom w:val="single" w:color="000000" w:sz="4" w:space="0"/>
              <w:right w:val="single" w:color="000000" w:sz="4" w:space="0"/>
            </w:tcBorders>
            <w:shd w:val="clear" w:color="auto" w:fill="auto"/>
            <w:tcMar>
              <w:top w:w="0" w:type="dxa"/>
              <w:left w:w="105" w:type="dxa"/>
              <w:bottom w:w="0" w:type="dxa"/>
              <w:right w:w="105" w:type="dxa"/>
            </w:tcMar>
            <w:vAlign w:val="center"/>
          </w:tcPr>
          <w:p w14:paraId="3A495EC2">
            <w:pPr>
              <w:pStyle w:val="8"/>
              <w:jc w:val="center"/>
              <w:rPr>
                <w:color w:val="auto"/>
                <w:highlight w:val="none"/>
              </w:rPr>
            </w:pPr>
            <w:r>
              <w:rPr>
                <w:rFonts w:hint="eastAsia" w:ascii="宋体" w:hAnsi="宋体" w:eastAsia="宋体" w:cs="宋体"/>
                <w:color w:val="auto"/>
                <w:sz w:val="24"/>
                <w:highlight w:val="none"/>
                <w:lang w:val="en-US" w:eastAsia="zh-CN"/>
              </w:rPr>
              <w:t>9</w:t>
            </w:r>
            <w:r>
              <w:rPr>
                <w:rFonts w:ascii="宋体" w:hAnsi="宋体" w:eastAsia="宋体" w:cs="宋体"/>
                <w:color w:val="auto"/>
                <w:sz w:val="24"/>
                <w:highlight w:val="none"/>
              </w:rPr>
              <w:t>、水果类</w:t>
            </w:r>
          </w:p>
        </w:tc>
        <w:tc>
          <w:tcPr>
            <w:tcW w:w="1608" w:type="dxa"/>
            <w:tcBorders>
              <w:top w:val="nil"/>
              <w:left w:val="nil"/>
              <w:bottom w:val="single" w:color="000000" w:sz="4" w:space="0"/>
              <w:right w:val="single" w:color="000000" w:sz="4" w:space="0"/>
            </w:tcBorders>
            <w:shd w:val="clear" w:color="auto" w:fill="auto"/>
            <w:tcMar>
              <w:top w:w="0" w:type="dxa"/>
              <w:left w:w="105" w:type="dxa"/>
              <w:bottom w:w="0" w:type="dxa"/>
              <w:right w:w="105" w:type="dxa"/>
            </w:tcMar>
            <w:vAlign w:val="center"/>
          </w:tcPr>
          <w:p w14:paraId="730CE3CC">
            <w:pPr>
              <w:pStyle w:val="8"/>
              <w:jc w:val="center"/>
              <w:rPr>
                <w:color w:val="auto"/>
                <w:highlight w:val="none"/>
              </w:rPr>
            </w:pPr>
            <w:r>
              <w:rPr>
                <w:rFonts w:ascii="宋体" w:hAnsi="宋体" w:eastAsia="宋体" w:cs="宋体"/>
                <w:color w:val="auto"/>
                <w:sz w:val="24"/>
                <w:highlight w:val="none"/>
              </w:rPr>
              <w:t>水果类</w:t>
            </w:r>
          </w:p>
        </w:tc>
        <w:tc>
          <w:tcPr>
            <w:tcW w:w="6217" w:type="dxa"/>
            <w:tcBorders>
              <w:top w:val="nil"/>
              <w:left w:val="nil"/>
              <w:bottom w:val="single" w:color="000000" w:sz="4" w:space="0"/>
              <w:right w:val="single" w:color="000000" w:sz="4" w:space="0"/>
            </w:tcBorders>
            <w:shd w:val="clear" w:color="auto" w:fill="auto"/>
            <w:tcMar>
              <w:top w:w="0" w:type="dxa"/>
              <w:left w:w="105" w:type="dxa"/>
              <w:bottom w:w="0" w:type="dxa"/>
              <w:right w:w="105" w:type="dxa"/>
            </w:tcMar>
            <w:vAlign w:val="top"/>
          </w:tcPr>
          <w:p w14:paraId="09C2F9C9">
            <w:pPr>
              <w:pStyle w:val="8"/>
              <w:jc w:val="left"/>
              <w:rPr>
                <w:color w:val="auto"/>
                <w:highlight w:val="none"/>
              </w:rPr>
            </w:pPr>
            <w:r>
              <w:rPr>
                <w:rFonts w:ascii="宋体" w:hAnsi="宋体" w:eastAsia="宋体" w:cs="宋体"/>
                <w:color w:val="auto"/>
                <w:sz w:val="24"/>
                <w:highlight w:val="none"/>
              </w:rPr>
              <w:t>橘子、橙子、柚子、柠檬等柑橘类 ，苹果、梨、桃、李子、杏、樱桃、甜瓜、西瓜、黄金瓜、哈密瓜等仁（核、瓜）果类，葡萄、石榴、柿子、桑椹、草莓、无花果、猕猴桃等浆果类，各类鲜枣、桂圆、菠萝、火龙果等枣和热带水果</w:t>
            </w:r>
            <w:r>
              <w:rPr>
                <w:rFonts w:hint="eastAsia" w:ascii="宋体" w:hAnsi="宋体" w:eastAsia="宋体" w:cs="宋体"/>
                <w:color w:val="auto"/>
                <w:sz w:val="24"/>
                <w:highlight w:val="none"/>
                <w:lang w:val="en-US" w:eastAsia="zh-CN"/>
              </w:rPr>
              <w:t>等</w:t>
            </w:r>
          </w:p>
        </w:tc>
      </w:tr>
    </w:tbl>
    <w:p w14:paraId="5F2529C1">
      <w:pPr>
        <w:numPr>
          <w:ilvl w:val="0"/>
          <w:numId w:val="0"/>
        </w:numPr>
        <w:rPr>
          <w:rFonts w:hint="eastAsia" w:asciiTheme="minorHAnsi" w:hAnsiTheme="minorHAnsi" w:eastAsiaTheme="minorEastAsia" w:cstheme="minorBidi"/>
          <w:color w:val="auto"/>
          <w:kern w:val="2"/>
          <w:sz w:val="21"/>
          <w:szCs w:val="24"/>
          <w:highlight w:val="none"/>
          <w:lang w:val="en-US" w:eastAsia="zh-CN" w:bidi="ar-SA"/>
        </w:rPr>
      </w:pPr>
    </w:p>
    <w:p w14:paraId="49076DA6">
      <w:pPr>
        <w:numPr>
          <w:ilvl w:val="0"/>
          <w:numId w:val="0"/>
        </w:numPr>
        <w:rPr>
          <w:rFonts w:hint="eastAsia" w:asciiTheme="minorHAnsi" w:hAnsiTheme="minorHAnsi" w:eastAsiaTheme="minorEastAsia" w:cstheme="minorBidi"/>
          <w:color w:val="auto"/>
          <w:kern w:val="2"/>
          <w:sz w:val="21"/>
          <w:szCs w:val="24"/>
          <w:highlight w:val="none"/>
          <w:lang w:val="en-US" w:eastAsia="zh-CN" w:bidi="ar-SA"/>
        </w:rPr>
      </w:pPr>
    </w:p>
    <w:p w14:paraId="4BADAB08">
      <w:pPr>
        <w:numPr>
          <w:ilvl w:val="0"/>
          <w:numId w:val="0"/>
        </w:numP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（2）干货采购类别</w:t>
      </w:r>
    </w:p>
    <w:tbl>
      <w:tblPr>
        <w:tblStyle w:val="5"/>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59"/>
        <w:gridCol w:w="1512"/>
        <w:gridCol w:w="6766"/>
      </w:tblGrid>
      <w:tr w14:paraId="25BCE1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99EE5A7">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151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039313E">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采购类别</w:t>
            </w:r>
          </w:p>
        </w:tc>
        <w:tc>
          <w:tcPr>
            <w:tcW w:w="676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EF89C6">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品名</w:t>
            </w:r>
          </w:p>
        </w:tc>
      </w:tr>
      <w:tr w14:paraId="450E5D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582E26">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512" w:type="dxa"/>
            <w:tcBorders>
              <w:top w:val="nil"/>
              <w:left w:val="nil"/>
              <w:bottom w:val="single" w:color="000000" w:sz="4" w:space="0"/>
              <w:right w:val="single" w:color="000000" w:sz="4" w:space="0"/>
            </w:tcBorders>
            <w:shd w:val="clear" w:color="auto" w:fill="auto"/>
            <w:tcMar>
              <w:top w:w="0" w:type="dxa"/>
              <w:left w:w="105" w:type="dxa"/>
              <w:bottom w:w="0" w:type="dxa"/>
              <w:right w:w="105" w:type="dxa"/>
            </w:tcMar>
            <w:vAlign w:val="top"/>
          </w:tcPr>
          <w:p w14:paraId="1B9D0E50">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液态</w:t>
            </w:r>
          </w:p>
          <w:p w14:paraId="37A11543">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调味品类</w:t>
            </w:r>
          </w:p>
        </w:tc>
        <w:tc>
          <w:tcPr>
            <w:tcW w:w="6766" w:type="dxa"/>
            <w:tcBorders>
              <w:top w:val="nil"/>
              <w:left w:val="nil"/>
              <w:bottom w:val="single" w:color="000000" w:sz="4" w:space="0"/>
              <w:right w:val="single" w:color="000000" w:sz="4" w:space="0"/>
            </w:tcBorders>
            <w:shd w:val="clear" w:color="auto" w:fill="auto"/>
            <w:tcMar>
              <w:top w:w="0" w:type="dxa"/>
              <w:left w:w="105" w:type="dxa"/>
              <w:bottom w:w="0" w:type="dxa"/>
              <w:right w:w="105" w:type="dxa"/>
            </w:tcMar>
            <w:vAlign w:val="top"/>
          </w:tcPr>
          <w:p w14:paraId="695B3C03">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cstheme="minorEastAsia"/>
                <w:color w:val="auto"/>
                <w:sz w:val="24"/>
                <w:szCs w:val="24"/>
                <w:highlight w:val="none"/>
                <w:lang w:val="en-US" w:eastAsia="zh-CN"/>
              </w:rPr>
              <w:t>海天1.9L老抽、 厨邦1.25L老抽、海天上等1kg蚝油、海天1.9L0金标生抽、民天特级500ml鱼露、500ml6度白米醋、760mL厨邦味极鲜酱油、1.5L红酒（塑料瓶）</w:t>
            </w:r>
            <w:r>
              <w:rPr>
                <w:rFonts w:hint="eastAsia" w:ascii="宋体" w:hAnsi="宋体" w:eastAsia="宋体" w:cs="宋体"/>
                <w:color w:val="auto"/>
                <w:sz w:val="24"/>
                <w:highlight w:val="none"/>
                <w:lang w:val="en-US" w:eastAsia="zh-CN"/>
              </w:rPr>
              <w:t>等</w:t>
            </w:r>
          </w:p>
        </w:tc>
      </w:tr>
      <w:tr w14:paraId="0520ED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0504B1">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512" w:type="dxa"/>
            <w:tcBorders>
              <w:top w:val="nil"/>
              <w:left w:val="nil"/>
              <w:bottom w:val="single" w:color="000000" w:sz="4" w:space="0"/>
              <w:right w:val="single" w:color="000000" w:sz="4" w:space="0"/>
            </w:tcBorders>
            <w:shd w:val="clear" w:color="auto" w:fill="auto"/>
            <w:tcMar>
              <w:top w:w="0" w:type="dxa"/>
              <w:left w:w="105" w:type="dxa"/>
              <w:bottom w:w="0" w:type="dxa"/>
              <w:right w:w="105" w:type="dxa"/>
            </w:tcMar>
            <w:vAlign w:val="top"/>
          </w:tcPr>
          <w:p w14:paraId="7DB5D529">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固态</w:t>
            </w:r>
          </w:p>
          <w:p w14:paraId="2B1B277F">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香辛料类</w:t>
            </w:r>
          </w:p>
        </w:tc>
        <w:tc>
          <w:tcPr>
            <w:tcW w:w="6766" w:type="dxa"/>
            <w:tcBorders>
              <w:top w:val="nil"/>
              <w:left w:val="nil"/>
              <w:bottom w:val="single" w:color="000000" w:sz="4" w:space="0"/>
              <w:right w:val="single" w:color="000000" w:sz="4" w:space="0"/>
            </w:tcBorders>
            <w:shd w:val="clear" w:color="auto" w:fill="auto"/>
            <w:tcMar>
              <w:top w:w="0" w:type="dxa"/>
              <w:left w:w="105" w:type="dxa"/>
              <w:bottom w:w="0" w:type="dxa"/>
              <w:right w:w="105" w:type="dxa"/>
            </w:tcMar>
            <w:vAlign w:val="top"/>
          </w:tcPr>
          <w:p w14:paraId="0AC8F30D">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500g辣椒粉、辣椒片、王守义55g辣椒干、王守义24g卤料、王守义55g花椒、王守义55g八角、珍津35g桂皮、珍津15g香叶、鸿兴源55g椒盐粉、鸿兴源35g白胡椒粉、500g当归</w:t>
            </w:r>
            <w:r>
              <w:rPr>
                <w:rFonts w:hint="eastAsia" w:asciiTheme="minorEastAsia" w:hAnsiTheme="minorEastAsia" w:cstheme="minorEastAsia"/>
                <w:color w:val="auto"/>
                <w:sz w:val="24"/>
                <w:szCs w:val="24"/>
                <w:highlight w:val="none"/>
                <w:lang w:val="en-US" w:eastAsia="zh-CN"/>
              </w:rPr>
              <w:t>、枸杞、肉松、奥尔良粉等</w:t>
            </w:r>
          </w:p>
        </w:tc>
      </w:tr>
      <w:tr w14:paraId="7C366E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40E632">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512" w:type="dxa"/>
            <w:tcBorders>
              <w:top w:val="nil"/>
              <w:left w:val="nil"/>
              <w:bottom w:val="single" w:color="000000" w:sz="4" w:space="0"/>
              <w:right w:val="single" w:color="000000" w:sz="4" w:space="0"/>
            </w:tcBorders>
            <w:shd w:val="clear" w:color="auto" w:fill="auto"/>
            <w:tcMar>
              <w:top w:w="0" w:type="dxa"/>
              <w:left w:w="105" w:type="dxa"/>
              <w:bottom w:w="0" w:type="dxa"/>
              <w:right w:w="105" w:type="dxa"/>
            </w:tcMar>
            <w:vAlign w:val="top"/>
          </w:tcPr>
          <w:p w14:paraId="329B2D75">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酱类与复合调味类</w:t>
            </w:r>
          </w:p>
        </w:tc>
        <w:tc>
          <w:tcPr>
            <w:tcW w:w="6766" w:type="dxa"/>
            <w:tcBorders>
              <w:top w:val="nil"/>
              <w:left w:val="nil"/>
              <w:bottom w:val="single" w:color="000000" w:sz="4" w:space="0"/>
              <w:right w:val="single" w:color="000000" w:sz="4" w:space="0"/>
            </w:tcBorders>
            <w:shd w:val="clear" w:color="auto" w:fill="auto"/>
            <w:tcMar>
              <w:top w:w="0" w:type="dxa"/>
              <w:left w:w="105" w:type="dxa"/>
              <w:bottom w:w="0" w:type="dxa"/>
              <w:right w:w="105" w:type="dxa"/>
            </w:tcMar>
            <w:vAlign w:val="top"/>
          </w:tcPr>
          <w:p w14:paraId="06B2E149">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海天510g番茄沙司、古龙180g香菇肉酱、268g食用小苏打粉、川骄1.1kg豆瓣酱、大鸿润1kg豆瓣酱、1kg双塔味精、350g闽盐</w:t>
            </w:r>
            <w:r>
              <w:rPr>
                <w:rFonts w:hint="eastAsia" w:asciiTheme="minorEastAsia" w:hAnsiTheme="minorEastAsia" w:cstheme="minorEastAsia"/>
                <w:color w:val="auto"/>
                <w:sz w:val="24"/>
                <w:szCs w:val="24"/>
                <w:highlight w:val="none"/>
                <w:lang w:val="en-US" w:eastAsia="zh-CN"/>
              </w:rPr>
              <w:t>、排骨粉、酵母等</w:t>
            </w:r>
          </w:p>
        </w:tc>
      </w:tr>
      <w:tr w14:paraId="1449A8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EE19E7">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15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C197E2">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淀粉与粉面制品类</w:t>
            </w:r>
          </w:p>
        </w:tc>
        <w:tc>
          <w:tcPr>
            <w:tcW w:w="67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87C252">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200g生粉、260g地瓜粉、308g油炸粉、500g蝴蝶面、400g通心粉、500g锅边片、500g兴化粉、500g简装面片、800g金沙河筒面条、500g面粉、500g高筋面粉、500g熟浆粉干</w:t>
            </w:r>
            <w:r>
              <w:rPr>
                <w:rFonts w:hint="eastAsia" w:asciiTheme="minorEastAsia" w:hAnsiTheme="minorEastAsia" w:cstheme="minorEastAsia"/>
                <w:color w:val="auto"/>
                <w:sz w:val="24"/>
                <w:szCs w:val="24"/>
                <w:highlight w:val="none"/>
                <w:lang w:val="en-US" w:eastAsia="zh-CN"/>
              </w:rPr>
              <w:t>，波纹面、条汀粉干、线面、5Kg金沙河面粉，玉米面粉、糯米粉、手擀面、粳米粉、木薯粉、暖菇粉、水饺皮、馄饨皮等</w:t>
            </w:r>
          </w:p>
        </w:tc>
      </w:tr>
      <w:tr w14:paraId="4C09A4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433" w:hRule="atLeast"/>
        </w:trPr>
        <w:tc>
          <w:tcPr>
            <w:tcW w:w="6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59AAE5">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15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D6ED3A">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杂粮与谷物类</w:t>
            </w:r>
          </w:p>
        </w:tc>
        <w:tc>
          <w:tcPr>
            <w:tcW w:w="67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010526">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500g莲子、500g绿豆、500g黑香米、500g红豆、500g大红枣、500g花生米、500g糯米、500g小米、500g八宝米、500g西米、500g紫米、500g玉米片、500g糙米、500g燕麦片、500g高粱米、500g黄豆</w:t>
            </w:r>
            <w:r>
              <w:rPr>
                <w:rFonts w:hint="eastAsia" w:asciiTheme="minorEastAsia" w:hAnsiTheme="minorEastAsia" w:cstheme="minorEastAsia"/>
                <w:color w:val="auto"/>
                <w:sz w:val="24"/>
                <w:szCs w:val="24"/>
                <w:highlight w:val="none"/>
                <w:lang w:val="en-US" w:eastAsia="zh-CN"/>
              </w:rPr>
              <w:t>、荞麦米、白芝麻、黑芝麻，薏米，黑豆，干桂圆肉，去核红枣等；</w:t>
            </w:r>
          </w:p>
        </w:tc>
      </w:tr>
      <w:tr w14:paraId="6465B1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9" w:type="dxa"/>
            <w:tcBorders>
              <w:top w:val="nil"/>
              <w:left w:val="single" w:color="000000" w:sz="4" w:space="0"/>
              <w:bottom w:val="single" w:color="auto" w:sz="4" w:space="0"/>
              <w:right w:val="single" w:color="000000" w:sz="4" w:space="0"/>
            </w:tcBorders>
            <w:tcMar>
              <w:top w:w="0" w:type="dxa"/>
              <w:left w:w="105" w:type="dxa"/>
              <w:bottom w:w="0" w:type="dxa"/>
              <w:right w:w="105" w:type="dxa"/>
            </w:tcMar>
            <w:vAlign w:val="top"/>
          </w:tcPr>
          <w:p w14:paraId="415E9870">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1512" w:type="dxa"/>
            <w:tcBorders>
              <w:top w:val="nil"/>
              <w:left w:val="nil"/>
              <w:bottom w:val="single" w:color="auto" w:sz="4" w:space="0"/>
              <w:right w:val="single" w:color="000000" w:sz="4" w:space="0"/>
            </w:tcBorders>
            <w:tcMar>
              <w:top w:w="0" w:type="dxa"/>
              <w:left w:w="105" w:type="dxa"/>
              <w:bottom w:w="0" w:type="dxa"/>
              <w:right w:w="105" w:type="dxa"/>
            </w:tcMar>
            <w:vAlign w:val="top"/>
          </w:tcPr>
          <w:p w14:paraId="4AC78929">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菌菇与海产干货类</w:t>
            </w:r>
          </w:p>
        </w:tc>
        <w:tc>
          <w:tcPr>
            <w:tcW w:w="6766" w:type="dxa"/>
            <w:tcBorders>
              <w:top w:val="nil"/>
              <w:left w:val="nil"/>
              <w:bottom w:val="single" w:color="auto" w:sz="4" w:space="0"/>
              <w:right w:val="single" w:color="000000" w:sz="4" w:space="0"/>
            </w:tcBorders>
            <w:tcMar>
              <w:top w:w="0" w:type="dxa"/>
              <w:left w:w="105" w:type="dxa"/>
              <w:bottom w:w="0" w:type="dxa"/>
              <w:right w:w="105" w:type="dxa"/>
            </w:tcMar>
            <w:vAlign w:val="top"/>
          </w:tcPr>
          <w:p w14:paraId="5D6B3A5F">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500g花蛤干、500g干虾皮、500g紫菜、500g干海带、500g干海带结、500g干贝、500g干香菇、500g腐竹、500g丁香鱼、500g干竹荪、500g干茶树菇、500g干萝卜干、500g银鱼干、500g白木耳干、500g干鹿茸菇、500g姬松茸</w:t>
            </w:r>
            <w:r>
              <w:rPr>
                <w:rFonts w:hint="eastAsia" w:asciiTheme="minorEastAsia" w:hAnsiTheme="minorEastAsia" w:cstheme="minorEastAsia"/>
                <w:color w:val="auto"/>
                <w:sz w:val="24"/>
                <w:szCs w:val="24"/>
                <w:highlight w:val="none"/>
                <w:lang w:val="en-US" w:eastAsia="zh-CN"/>
              </w:rPr>
              <w:t>、目鱼干，虫草花干，海带苗，海蛎干，蛏干，茶叶，莴笋干，酸菜干，贡菜干等</w:t>
            </w:r>
          </w:p>
        </w:tc>
      </w:tr>
      <w:tr w14:paraId="682606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9"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486E32D0">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151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14A673E">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乳品与冲调类</w:t>
            </w:r>
          </w:p>
        </w:tc>
        <w:tc>
          <w:tcPr>
            <w:tcW w:w="676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AF2E094">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250ml伊利纯牛奶、230ml明一冷链鲜奶、221ml长富冷链花色奶、90ml明一冷链原味酸奶、375g雀巢高钙全脂奶粉</w:t>
            </w:r>
            <w:r>
              <w:rPr>
                <w:rFonts w:hint="eastAsia" w:asciiTheme="minorEastAsia" w:hAnsiTheme="minorEastAsia" w:cstheme="minorEastAsia"/>
                <w:color w:val="auto"/>
                <w:sz w:val="24"/>
                <w:szCs w:val="24"/>
                <w:highlight w:val="none"/>
                <w:lang w:val="en-US" w:eastAsia="zh-CN"/>
              </w:rPr>
              <w:t>，椰汁等</w:t>
            </w:r>
          </w:p>
        </w:tc>
      </w:tr>
      <w:tr w14:paraId="2CA099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9"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8602D15">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c>
          <w:tcPr>
            <w:tcW w:w="151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A1DC620">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冷冻禽肉水产类</w:t>
            </w:r>
          </w:p>
        </w:tc>
        <w:tc>
          <w:tcPr>
            <w:tcW w:w="676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E54AF53">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shd w:val="clear"/>
                <w:lang w:val="en-US" w:eastAsia="zh-CN"/>
              </w:rPr>
              <w:t>500g大鸡中翅、500g大鸡腿、500g300-400g/条大带鱼、500g二节鸭翅、500g短鸡爪、500g鲜冻无冰虾仁</w:t>
            </w:r>
            <w:r>
              <w:rPr>
                <w:rFonts w:hint="eastAsia" w:asciiTheme="minorEastAsia" w:hAnsiTheme="minorEastAsia" w:cstheme="minorEastAsia"/>
                <w:color w:val="auto"/>
                <w:sz w:val="24"/>
                <w:szCs w:val="24"/>
                <w:highlight w:val="none"/>
                <w:shd w:val="clear"/>
                <w:lang w:val="en-US" w:eastAsia="zh-CN"/>
              </w:rPr>
              <w:t>、冷冻虾、巴沙鱼块、鸡胸肉、鱿鱼须、雪花鸡柳、脆鸡排，翅根等</w:t>
            </w:r>
          </w:p>
        </w:tc>
      </w:tr>
      <w:tr w14:paraId="7D23FE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9"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1015E97">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p>
        </w:tc>
        <w:tc>
          <w:tcPr>
            <w:tcW w:w="151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5F08511">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糖品类</w:t>
            </w:r>
          </w:p>
        </w:tc>
        <w:tc>
          <w:tcPr>
            <w:tcW w:w="6766"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BE41963">
            <w:pPr>
              <w:pStyle w:val="8"/>
              <w:keepNext w:val="0"/>
              <w:keepLines w:val="0"/>
              <w:pageBreakBefore w:val="0"/>
              <w:kinsoku/>
              <w:wordWrap/>
              <w:overflowPunct/>
              <w:topLinePunct w:val="0"/>
              <w:autoSpaceDE/>
              <w:autoSpaceDN/>
              <w:bidi w:val="0"/>
              <w:adjustRightInd/>
              <w:snapToGrid/>
              <w:spacing w:line="360" w:lineRule="auto"/>
              <w:jc w:val="left"/>
              <w:textAlignment w:val="auto"/>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500g粗白糖</w:t>
            </w:r>
            <w:r>
              <w:rPr>
                <w:rFonts w:hint="eastAsia" w:asciiTheme="minorEastAsia" w:hAnsiTheme="minorEastAsia" w:cstheme="minorEastAsia"/>
                <w:color w:val="auto"/>
                <w:sz w:val="24"/>
                <w:szCs w:val="24"/>
                <w:highlight w:val="none"/>
                <w:lang w:val="en-US" w:eastAsia="zh-CN"/>
              </w:rPr>
              <w:t>，红糖，糖粉，细白糖，冰糖等</w:t>
            </w:r>
          </w:p>
        </w:tc>
      </w:tr>
      <w:tr w14:paraId="2A6622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9"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3687145">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10</w:t>
            </w:r>
          </w:p>
        </w:tc>
        <w:tc>
          <w:tcPr>
            <w:tcW w:w="151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07A3BD8D">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坚果类</w:t>
            </w:r>
          </w:p>
        </w:tc>
        <w:tc>
          <w:tcPr>
            <w:tcW w:w="6766"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323636C0">
            <w:pPr>
              <w:pStyle w:val="8"/>
              <w:keepNext w:val="0"/>
              <w:keepLines w:val="0"/>
              <w:pageBreakBefore w:val="0"/>
              <w:kinsoku/>
              <w:wordWrap/>
              <w:overflowPunct/>
              <w:topLinePunct w:val="0"/>
              <w:autoSpaceDE/>
              <w:autoSpaceDN/>
              <w:bidi w:val="0"/>
              <w:adjustRightInd/>
              <w:snapToGrid/>
              <w:spacing w:line="360" w:lineRule="auto"/>
              <w:jc w:val="lef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核桃、混合坚果、果干，葡萄干，蔓越莓干等</w:t>
            </w:r>
          </w:p>
        </w:tc>
      </w:tr>
      <w:tr w14:paraId="715636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9"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746DDA03">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11</w:t>
            </w:r>
          </w:p>
        </w:tc>
        <w:tc>
          <w:tcPr>
            <w:tcW w:w="1512"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6E9D27FC">
            <w:pPr>
              <w:pStyle w:val="8"/>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烘培类</w:t>
            </w:r>
          </w:p>
        </w:tc>
        <w:tc>
          <w:tcPr>
            <w:tcW w:w="6766"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A538F88">
            <w:pPr>
              <w:pStyle w:val="8"/>
              <w:keepNext w:val="0"/>
              <w:keepLines w:val="0"/>
              <w:pageBreakBefore w:val="0"/>
              <w:kinsoku/>
              <w:wordWrap/>
              <w:overflowPunct/>
              <w:topLinePunct w:val="0"/>
              <w:autoSpaceDE/>
              <w:autoSpaceDN/>
              <w:bidi w:val="0"/>
              <w:adjustRightInd/>
              <w:snapToGrid/>
              <w:spacing w:line="360" w:lineRule="auto"/>
              <w:jc w:val="left"/>
              <w:textAlignment w:val="auto"/>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蛋挞皮、黄油</w:t>
            </w:r>
            <w:r>
              <w:rPr>
                <w:rFonts w:hint="eastAsia" w:ascii="宋体" w:hAnsi="宋体" w:eastAsia="宋体" w:cs="宋体"/>
                <w:color w:val="auto"/>
                <w:sz w:val="24"/>
                <w:highlight w:val="none"/>
                <w:lang w:val="en-US" w:eastAsia="zh-CN"/>
              </w:rPr>
              <w:t>等</w:t>
            </w:r>
          </w:p>
        </w:tc>
      </w:tr>
    </w:tbl>
    <w:p w14:paraId="66471DDA">
      <w:pPr>
        <w:pStyle w:val="8"/>
        <w:numPr>
          <w:ilvl w:val="0"/>
          <w:numId w:val="0"/>
        </w:numPr>
        <w:jc w:val="both"/>
        <w:outlineLvl w:val="2"/>
        <w:rPr>
          <w:rFonts w:hint="eastAsia" w:asciiTheme="minorEastAsia" w:hAnsiTheme="minorEastAsia" w:cstheme="minorEastAsia"/>
          <w:b/>
          <w:color w:val="auto"/>
          <w:sz w:val="28"/>
          <w:highlight w:val="none"/>
          <w:lang w:val="en-US" w:eastAsia="zh-CN"/>
        </w:rPr>
      </w:pPr>
      <w:r>
        <w:rPr>
          <w:rFonts w:hint="eastAsia" w:asciiTheme="minorEastAsia" w:hAnsiTheme="minorEastAsia" w:eastAsiaTheme="minorEastAsia" w:cstheme="minorEastAsia"/>
          <w:b/>
          <w:color w:val="auto"/>
          <w:sz w:val="28"/>
          <w:highlight w:val="none"/>
          <w:lang w:val="en-US" w:eastAsia="zh-CN"/>
        </w:rPr>
        <w:t>（</w:t>
      </w:r>
      <w:r>
        <w:rPr>
          <w:rFonts w:hint="eastAsia" w:asciiTheme="minorEastAsia" w:hAnsiTheme="minorEastAsia" w:cstheme="minorEastAsia"/>
          <w:b/>
          <w:color w:val="auto"/>
          <w:sz w:val="28"/>
          <w:highlight w:val="none"/>
          <w:lang w:val="en-US" w:eastAsia="zh-CN"/>
        </w:rPr>
        <w:t>3</w:t>
      </w:r>
      <w:r>
        <w:rPr>
          <w:rFonts w:hint="eastAsia" w:asciiTheme="minorEastAsia" w:hAnsiTheme="minorEastAsia" w:eastAsiaTheme="minorEastAsia" w:cstheme="minorEastAsia"/>
          <w:b/>
          <w:color w:val="auto"/>
          <w:sz w:val="28"/>
          <w:highlight w:val="none"/>
          <w:lang w:val="en-US" w:eastAsia="zh-CN"/>
        </w:rPr>
        <w:t>）</w:t>
      </w:r>
      <w:r>
        <w:rPr>
          <w:rFonts w:hint="eastAsia" w:asciiTheme="minorEastAsia" w:hAnsiTheme="minorEastAsia" w:cstheme="minorEastAsia"/>
          <w:b/>
          <w:color w:val="auto"/>
          <w:sz w:val="28"/>
          <w:highlight w:val="none"/>
          <w:lang w:val="en-US" w:eastAsia="zh-CN"/>
        </w:rPr>
        <w:t>米 油</w:t>
      </w:r>
    </w:p>
    <w:tbl>
      <w:tblPr>
        <w:tblStyle w:val="5"/>
        <w:tblW w:w="0" w:type="auto"/>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5"/>
        <w:gridCol w:w="1512"/>
        <w:gridCol w:w="6766"/>
      </w:tblGrid>
      <w:tr w14:paraId="113D2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5" w:type="dxa"/>
            <w:tcMar>
              <w:top w:w="0" w:type="dxa"/>
              <w:left w:w="105" w:type="dxa"/>
              <w:bottom w:w="0" w:type="dxa"/>
              <w:right w:w="105" w:type="dxa"/>
            </w:tcMar>
            <w:vAlign w:val="top"/>
          </w:tcPr>
          <w:p w14:paraId="7A834A3D">
            <w:pPr>
              <w:pStyle w:val="8"/>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序号</w:t>
            </w:r>
          </w:p>
        </w:tc>
        <w:tc>
          <w:tcPr>
            <w:tcW w:w="1512" w:type="dxa"/>
            <w:tcMar>
              <w:top w:w="0" w:type="dxa"/>
              <w:left w:w="105" w:type="dxa"/>
              <w:bottom w:w="0" w:type="dxa"/>
              <w:right w:w="105" w:type="dxa"/>
            </w:tcMar>
            <w:vAlign w:val="top"/>
          </w:tcPr>
          <w:p w14:paraId="1D38FA47">
            <w:pPr>
              <w:pStyle w:val="8"/>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采购类别</w:t>
            </w:r>
          </w:p>
        </w:tc>
        <w:tc>
          <w:tcPr>
            <w:tcW w:w="6766" w:type="dxa"/>
            <w:tcMar>
              <w:top w:w="0" w:type="dxa"/>
              <w:left w:w="105" w:type="dxa"/>
              <w:bottom w:w="0" w:type="dxa"/>
              <w:right w:w="105" w:type="dxa"/>
            </w:tcMar>
            <w:vAlign w:val="top"/>
          </w:tcPr>
          <w:p w14:paraId="7C48DEE1">
            <w:pPr>
              <w:pStyle w:val="8"/>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品名</w:t>
            </w:r>
          </w:p>
        </w:tc>
      </w:tr>
      <w:tr w14:paraId="7D19F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855" w:type="dxa"/>
            <w:tcMar>
              <w:top w:w="0" w:type="dxa"/>
              <w:left w:w="105" w:type="dxa"/>
              <w:bottom w:w="0" w:type="dxa"/>
              <w:right w:w="105" w:type="dxa"/>
            </w:tcMar>
            <w:vAlign w:val="top"/>
          </w:tcPr>
          <w:p w14:paraId="2ACAAFFD">
            <w:pPr>
              <w:pStyle w:val="8"/>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w:t>
            </w:r>
          </w:p>
        </w:tc>
        <w:tc>
          <w:tcPr>
            <w:tcW w:w="1512" w:type="dxa"/>
            <w:tcMar>
              <w:top w:w="0" w:type="dxa"/>
              <w:left w:w="105" w:type="dxa"/>
              <w:bottom w:w="0" w:type="dxa"/>
              <w:right w:w="105" w:type="dxa"/>
            </w:tcMar>
            <w:vAlign w:val="top"/>
          </w:tcPr>
          <w:p w14:paraId="0E2F63C3">
            <w:pPr>
              <w:pStyle w:val="8"/>
              <w:jc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米类</w:t>
            </w:r>
          </w:p>
        </w:tc>
        <w:tc>
          <w:tcPr>
            <w:tcW w:w="6766" w:type="dxa"/>
            <w:tcMar>
              <w:top w:w="0" w:type="dxa"/>
              <w:left w:w="105" w:type="dxa"/>
              <w:bottom w:w="0" w:type="dxa"/>
              <w:right w:w="105" w:type="dxa"/>
            </w:tcMar>
            <w:vAlign w:val="top"/>
          </w:tcPr>
          <w:p w14:paraId="4932D29B">
            <w:pPr>
              <w:pStyle w:val="8"/>
              <w:jc w:val="left"/>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 xml:space="preserve">一级优质晚米  </w:t>
            </w:r>
            <w:r>
              <w:rPr>
                <w:rFonts w:hint="eastAsia" w:asciiTheme="minorEastAsia" w:hAnsiTheme="minorEastAsia" w:eastAsiaTheme="minorEastAsia" w:cstheme="minorEastAsia"/>
                <w:color w:val="auto"/>
                <w:kern w:val="2"/>
                <w:sz w:val="24"/>
                <w:szCs w:val="24"/>
                <w:highlight w:val="none"/>
                <w:lang w:val="en-US" w:eastAsia="zh-CN" w:bidi="ar-SA"/>
              </w:rPr>
              <w:tab/>
            </w:r>
            <w:r>
              <w:rPr>
                <w:rFonts w:hint="eastAsia" w:asciiTheme="minorEastAsia" w:hAnsiTheme="minorEastAsia" w:eastAsiaTheme="minorEastAsia" w:cstheme="minorEastAsia"/>
                <w:color w:val="auto"/>
                <w:kern w:val="2"/>
                <w:sz w:val="24"/>
                <w:szCs w:val="24"/>
                <w:highlight w:val="none"/>
                <w:lang w:val="en-US" w:eastAsia="zh-CN" w:bidi="ar-SA"/>
              </w:rPr>
              <w:t>25kg/袋</w:t>
            </w:r>
            <w:r>
              <w:rPr>
                <w:rFonts w:hint="eastAsia" w:asciiTheme="minorEastAsia" w:hAnsiTheme="minorEastAsia" w:eastAsiaTheme="minorEastAsia" w:cstheme="minorEastAsia"/>
                <w:color w:val="auto"/>
                <w:kern w:val="2"/>
                <w:sz w:val="24"/>
                <w:szCs w:val="24"/>
                <w:highlight w:val="none"/>
                <w:lang w:val="en-US" w:eastAsia="zh-CN" w:bidi="ar-SA"/>
              </w:rPr>
              <w:tab/>
            </w:r>
            <w:r>
              <w:rPr>
                <w:rFonts w:hint="eastAsia" w:asciiTheme="minorEastAsia" w:hAnsiTheme="minorEastAsia" w:eastAsiaTheme="minorEastAsia" w:cstheme="minorEastAsia"/>
                <w:color w:val="auto"/>
                <w:kern w:val="2"/>
                <w:sz w:val="24"/>
                <w:szCs w:val="24"/>
                <w:highlight w:val="none"/>
                <w:lang w:val="en-US" w:eastAsia="zh-CN" w:bidi="ar-SA"/>
              </w:rPr>
              <w:t xml:space="preserve">  大金湖丁优米</w:t>
            </w:r>
            <w:r>
              <w:rPr>
                <w:rFonts w:hint="eastAsia" w:ascii="宋体" w:hAnsi="宋体" w:eastAsia="宋体" w:cs="宋体"/>
                <w:color w:val="auto"/>
                <w:sz w:val="24"/>
                <w:highlight w:val="none"/>
                <w:lang w:val="en-US" w:eastAsia="zh-CN"/>
              </w:rPr>
              <w:t>等</w:t>
            </w:r>
          </w:p>
        </w:tc>
      </w:tr>
      <w:tr w14:paraId="2DEE0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tcMar>
              <w:top w:w="0" w:type="dxa"/>
              <w:left w:w="105" w:type="dxa"/>
              <w:bottom w:w="0" w:type="dxa"/>
              <w:right w:w="105" w:type="dxa"/>
            </w:tcMar>
            <w:vAlign w:val="top"/>
          </w:tcPr>
          <w:p w14:paraId="74862DD6">
            <w:pPr>
              <w:pStyle w:val="8"/>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w:t>
            </w:r>
          </w:p>
        </w:tc>
        <w:tc>
          <w:tcPr>
            <w:tcW w:w="1512" w:type="dxa"/>
            <w:tcMar>
              <w:top w:w="0" w:type="dxa"/>
              <w:left w:w="105" w:type="dxa"/>
              <w:bottom w:w="0" w:type="dxa"/>
              <w:right w:w="105" w:type="dxa"/>
            </w:tcMar>
            <w:vAlign w:val="top"/>
          </w:tcPr>
          <w:p w14:paraId="4927A20B">
            <w:pPr>
              <w:pStyle w:val="8"/>
              <w:jc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油类</w:t>
            </w:r>
          </w:p>
        </w:tc>
        <w:tc>
          <w:tcPr>
            <w:tcW w:w="6766" w:type="dxa"/>
            <w:tcMar>
              <w:top w:w="0" w:type="dxa"/>
              <w:left w:w="105" w:type="dxa"/>
              <w:bottom w:w="0" w:type="dxa"/>
              <w:right w:w="105" w:type="dxa"/>
            </w:tcMar>
            <w:vAlign w:val="top"/>
          </w:tcPr>
          <w:p w14:paraId="7229366D">
            <w:pPr>
              <w:pStyle w:val="8"/>
              <w:jc w:val="left"/>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非转基因食用植物调和油</w:t>
            </w:r>
            <w:r>
              <w:rPr>
                <w:rFonts w:hint="eastAsia" w:asciiTheme="minorEastAsia" w:hAnsiTheme="minorEastAsia" w:eastAsiaTheme="minorEastAsia" w:cstheme="minorEastAsia"/>
                <w:color w:val="auto"/>
                <w:kern w:val="2"/>
                <w:sz w:val="24"/>
                <w:szCs w:val="24"/>
                <w:highlight w:val="none"/>
                <w:lang w:val="en-US" w:eastAsia="zh-CN" w:bidi="ar-SA"/>
              </w:rPr>
              <w:tab/>
            </w:r>
            <w:r>
              <w:rPr>
                <w:rFonts w:hint="eastAsia" w:asciiTheme="minorEastAsia" w:hAnsiTheme="minorEastAsia" w:eastAsiaTheme="minorEastAsia" w:cstheme="minorEastAsia"/>
                <w:color w:val="auto"/>
                <w:kern w:val="2"/>
                <w:sz w:val="24"/>
                <w:szCs w:val="24"/>
                <w:highlight w:val="none"/>
                <w:lang w:val="en-US" w:eastAsia="zh-CN" w:bidi="ar-SA"/>
              </w:rPr>
              <w:t>5L/桶</w:t>
            </w:r>
          </w:p>
        </w:tc>
      </w:tr>
    </w:tbl>
    <w:p w14:paraId="1F0B2D8D">
      <w:pPr>
        <w:pStyle w:val="8"/>
        <w:numPr>
          <w:ilvl w:val="0"/>
          <w:numId w:val="0"/>
        </w:numPr>
        <w:jc w:val="both"/>
        <w:outlineLvl w:val="2"/>
        <w:rPr>
          <w:rFonts w:hint="default" w:asciiTheme="minorEastAsia" w:hAnsiTheme="minorEastAsia" w:cstheme="minorEastAsia"/>
          <w:b/>
          <w:color w:val="auto"/>
          <w:sz w:val="28"/>
          <w:highlight w:val="none"/>
          <w:lang w:val="en-US" w:eastAsia="zh-CN"/>
        </w:rPr>
      </w:pPr>
    </w:p>
    <w:p w14:paraId="12519A8F">
      <w:pPr>
        <w:pStyle w:val="8"/>
        <w:spacing w:line="440" w:lineRule="exact"/>
        <w:jc w:val="both"/>
        <w:rPr>
          <w:rFonts w:hint="default" w:ascii="宋体" w:hAnsi="宋体" w:cs="微软雅黑"/>
          <w:b/>
          <w:bCs/>
          <w:color w:val="auto"/>
          <w:sz w:val="24"/>
          <w:szCs w:val="24"/>
          <w:highlight w:val="none"/>
          <w:lang w:val="en-US" w:eastAsia="zh-CN"/>
        </w:rPr>
      </w:pPr>
      <w:r>
        <w:rPr>
          <w:rStyle w:val="7"/>
          <w:color w:val="auto"/>
          <w:highlight w:val="none"/>
        </w:rPr>
        <w:t>★</w:t>
      </w:r>
      <w:r>
        <w:rPr>
          <w:rFonts w:hint="eastAsia" w:asciiTheme="minorEastAsia" w:hAnsiTheme="minorEastAsia" w:cstheme="minorEastAsia"/>
          <w:b/>
          <w:color w:val="auto"/>
          <w:sz w:val="28"/>
          <w:highlight w:val="none"/>
          <w:lang w:eastAsia="zh-CN"/>
        </w:rPr>
        <w:t>（</w:t>
      </w:r>
      <w:r>
        <w:rPr>
          <w:rFonts w:hint="eastAsia" w:asciiTheme="minorEastAsia" w:hAnsiTheme="minorEastAsia" w:cstheme="minorEastAsia"/>
          <w:b/>
          <w:color w:val="auto"/>
          <w:sz w:val="28"/>
          <w:highlight w:val="none"/>
          <w:lang w:val="en-US" w:eastAsia="zh-CN"/>
        </w:rPr>
        <w:t>二</w:t>
      </w:r>
      <w:r>
        <w:rPr>
          <w:rFonts w:hint="eastAsia" w:asciiTheme="minorEastAsia" w:hAnsiTheme="minorEastAsia" w:cstheme="minorEastAsia"/>
          <w:b/>
          <w:color w:val="auto"/>
          <w:sz w:val="28"/>
          <w:highlight w:val="none"/>
          <w:lang w:eastAsia="zh-CN"/>
        </w:rPr>
        <w:t>）</w:t>
      </w:r>
      <w:r>
        <w:rPr>
          <w:rFonts w:ascii="宋体" w:hAnsi="宋体" w:cs="微软雅黑"/>
          <w:b/>
          <w:bCs/>
          <w:color w:val="auto"/>
          <w:sz w:val="24"/>
          <w:szCs w:val="24"/>
          <w:highlight w:val="none"/>
          <w:lang w:eastAsia="zh-CN"/>
        </w:rPr>
        <w:t>质量要求</w:t>
      </w:r>
    </w:p>
    <w:p w14:paraId="440E31A6">
      <w:pPr>
        <w:pStyle w:val="8"/>
        <w:spacing w:line="440" w:lineRule="exact"/>
        <w:jc w:val="both"/>
        <w:rPr>
          <w:rFonts w:hint="default" w:ascii="宋体" w:hAnsi="宋体" w:cs="微软雅黑"/>
          <w:b/>
          <w:bCs/>
          <w:color w:val="auto"/>
          <w:sz w:val="24"/>
          <w:szCs w:val="24"/>
          <w:highlight w:val="none"/>
          <w:lang w:val="en-US" w:eastAsia="zh-CN"/>
        </w:rPr>
      </w:pPr>
      <w:r>
        <w:rPr>
          <w:rFonts w:hint="eastAsia" w:ascii="宋体" w:hAnsi="宋体" w:cs="微软雅黑"/>
          <w:b/>
          <w:bCs/>
          <w:color w:val="auto"/>
          <w:sz w:val="24"/>
          <w:szCs w:val="24"/>
          <w:highlight w:val="none"/>
          <w:lang w:val="en-US" w:eastAsia="zh-CN"/>
        </w:rPr>
        <w:t>生鲜采购类别</w:t>
      </w:r>
    </w:p>
    <w:p w14:paraId="0B90EAC7">
      <w:pPr>
        <w:rPr>
          <w:rFonts w:hint="default" w:ascii="宋体" w:hAnsi="宋体" w:cs="Times New Roman" w:eastAsiaTheme="minorEastAsia"/>
          <w:b/>
          <w:bCs/>
          <w:color w:val="auto"/>
          <w:kern w:val="2"/>
          <w:sz w:val="24"/>
          <w:szCs w:val="24"/>
          <w:highlight w:val="none"/>
          <w:lang w:val="en-US" w:eastAsia="zh-CN" w:bidi="ar-SA"/>
        </w:rPr>
      </w:pPr>
      <w:r>
        <w:rPr>
          <w:rFonts w:hint="default" w:ascii="宋体" w:hAnsi="宋体" w:cs="Times New Roman" w:eastAsiaTheme="minorEastAsia"/>
          <w:b/>
          <w:bCs/>
          <w:color w:val="auto"/>
          <w:kern w:val="2"/>
          <w:sz w:val="24"/>
          <w:szCs w:val="24"/>
          <w:highlight w:val="none"/>
          <w:lang w:val="en-US" w:eastAsia="zh-CN" w:bidi="ar-SA"/>
        </w:rPr>
        <w:t>（1）肉类</w:t>
      </w:r>
    </w:p>
    <w:p w14:paraId="2C91D98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cs="Times New Roman" w:eastAsiaTheme="minorEastAsia"/>
          <w:color w:val="auto"/>
          <w:kern w:val="2"/>
          <w:sz w:val="24"/>
          <w:szCs w:val="24"/>
          <w:highlight w:val="none"/>
          <w:lang w:val="en-US" w:eastAsia="zh-CN" w:bidi="ar-SA"/>
        </w:rPr>
      </w:pPr>
      <w:r>
        <w:rPr>
          <w:rFonts w:hint="default" w:ascii="宋体" w:hAnsi="宋体" w:cs="Times New Roman" w:eastAsiaTheme="minorEastAsia"/>
          <w:color w:val="auto"/>
          <w:kern w:val="2"/>
          <w:sz w:val="24"/>
          <w:szCs w:val="24"/>
          <w:highlight w:val="none"/>
          <w:lang w:val="en-US" w:eastAsia="zh-CN" w:bidi="ar-SA"/>
        </w:rPr>
        <w:t>所有品类货品均须为新鲜肉品，常规供货不得配送冷冻肉类，特殊情形供货调整以采购人书面通知为准；质量符合</w:t>
      </w:r>
      <w:r>
        <w:rPr>
          <w:rFonts w:hint="eastAsia" w:ascii="宋体" w:hAnsi="宋体" w:cs="Times New Roman" w:eastAsiaTheme="minorEastAsia"/>
          <w:color w:val="auto"/>
          <w:kern w:val="2"/>
          <w:sz w:val="24"/>
          <w:szCs w:val="24"/>
          <w:highlight w:val="none"/>
          <w:lang w:val="en-US" w:eastAsia="zh-CN" w:bidi="ar-SA"/>
        </w:rPr>
        <w:t>国</w:t>
      </w:r>
      <w:r>
        <w:rPr>
          <w:rFonts w:hint="default" w:ascii="宋体" w:hAnsi="宋体" w:cs="Times New Roman" w:eastAsiaTheme="minorEastAsia"/>
          <w:color w:val="auto"/>
          <w:kern w:val="2"/>
          <w:sz w:val="24"/>
          <w:szCs w:val="24"/>
          <w:highlight w:val="none"/>
          <w:lang w:val="en-US" w:eastAsia="zh-CN" w:bidi="ar-SA"/>
        </w:rPr>
        <w:t>家标准</w:t>
      </w:r>
      <w:r>
        <w:rPr>
          <w:rFonts w:hint="eastAsia" w:ascii="宋体" w:hAnsi="宋体" w:cs="Times New Roman"/>
          <w:color w:val="auto"/>
          <w:kern w:val="2"/>
          <w:sz w:val="24"/>
          <w:szCs w:val="24"/>
          <w:highlight w:val="none"/>
          <w:lang w:val="en-US" w:eastAsia="zh-CN" w:bidi="ar-SA"/>
        </w:rPr>
        <w:t>、</w:t>
      </w:r>
      <w:r>
        <w:rPr>
          <w:rFonts w:hint="default" w:ascii="宋体" w:hAnsi="宋体" w:cs="Times New Roman" w:eastAsiaTheme="minorEastAsia"/>
          <w:color w:val="auto"/>
          <w:kern w:val="2"/>
          <w:sz w:val="24"/>
          <w:szCs w:val="24"/>
          <w:highlight w:val="none"/>
          <w:lang w:val="en-US" w:eastAsia="zh-CN" w:bidi="ar-SA"/>
        </w:rPr>
        <w:t>鲜肉卫生标准</w:t>
      </w:r>
      <w:r>
        <w:rPr>
          <w:rFonts w:hint="eastAsia" w:ascii="宋体" w:hAnsi="宋体" w:cs="Times New Roman" w:eastAsiaTheme="minorEastAsia"/>
          <w:color w:val="auto"/>
          <w:kern w:val="2"/>
          <w:sz w:val="24"/>
          <w:szCs w:val="24"/>
          <w:highlight w:val="none"/>
          <w:lang w:val="en-US" w:eastAsia="zh-CN" w:bidi="ar-SA"/>
        </w:rPr>
        <w:t>,并按规定每批次随货提供检验检疫合格证明。</w:t>
      </w:r>
    </w:p>
    <w:p w14:paraId="41C567B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cs="Times New Roman" w:eastAsiaTheme="minorEastAsia"/>
          <w:color w:val="auto"/>
          <w:kern w:val="2"/>
          <w:sz w:val="24"/>
          <w:szCs w:val="24"/>
          <w:highlight w:val="none"/>
          <w:lang w:val="en-US" w:eastAsia="zh-CN" w:bidi="ar-SA"/>
        </w:rPr>
      </w:pPr>
      <w:r>
        <w:rPr>
          <w:rFonts w:hint="default" w:ascii="宋体" w:hAnsi="宋体" w:cs="Times New Roman" w:eastAsiaTheme="minorEastAsia"/>
          <w:b/>
          <w:bCs/>
          <w:color w:val="auto"/>
          <w:kern w:val="2"/>
          <w:sz w:val="24"/>
          <w:szCs w:val="24"/>
          <w:highlight w:val="none"/>
          <w:lang w:val="en-US" w:eastAsia="zh-CN" w:bidi="ar-SA"/>
        </w:rPr>
        <w:t>1、猪肉：</w:t>
      </w:r>
      <w:r>
        <w:rPr>
          <w:rFonts w:hint="default" w:ascii="宋体" w:hAnsi="宋体" w:cs="Times New Roman" w:eastAsiaTheme="minorEastAsia"/>
          <w:color w:val="auto"/>
          <w:kern w:val="2"/>
          <w:sz w:val="24"/>
          <w:szCs w:val="24"/>
          <w:highlight w:val="none"/>
          <w:lang w:val="en-US" w:eastAsia="zh-CN" w:bidi="ar-SA"/>
        </w:rPr>
        <w:t>产品符合</w:t>
      </w:r>
      <w:r>
        <w:rPr>
          <w:rFonts w:hint="eastAsia" w:cs="Times New Roman" w:asciiTheme="minorEastAsia" w:hAnsiTheme="minorEastAsia"/>
          <w:color w:val="auto"/>
          <w:kern w:val="0"/>
          <w:sz w:val="24"/>
          <w:highlight w:val="none"/>
          <w:lang w:val="en-US" w:eastAsia="zh-CN"/>
        </w:rPr>
        <w:t>国家食品安全卫生标准</w:t>
      </w:r>
      <w:r>
        <w:rPr>
          <w:rFonts w:hint="default" w:ascii="宋体" w:hAnsi="宋体" w:cs="Times New Roman" w:eastAsiaTheme="minorEastAsia"/>
          <w:color w:val="auto"/>
          <w:kern w:val="2"/>
          <w:sz w:val="24"/>
          <w:szCs w:val="24"/>
          <w:highlight w:val="none"/>
          <w:lang w:val="en-US" w:eastAsia="zh-CN" w:bidi="ar-SA"/>
        </w:rPr>
        <w:t>。必须保证猪肉肉身必须盖有卫生检疫章，肉品须表皮洁净、膘厚适中、色泽鲜亮、纹理清晰、肉质细腻、无异味、无毛、按压无水迹、</w:t>
      </w:r>
      <w:r>
        <w:rPr>
          <w:rFonts w:hint="eastAsia" w:ascii="宋体" w:hAnsi="宋体" w:eastAsia="宋体" w:cs="宋体"/>
          <w:b w:val="0"/>
          <w:bCs/>
          <w:color w:val="auto"/>
          <w:sz w:val="24"/>
          <w:szCs w:val="24"/>
          <w:highlight w:val="none"/>
        </w:rPr>
        <w:t>指压凹陷能立即恢复</w:t>
      </w:r>
      <w:r>
        <w:rPr>
          <w:rFonts w:hint="eastAsia" w:ascii="宋体" w:hAnsi="宋体" w:eastAsia="宋体" w:cs="宋体"/>
          <w:b w:val="0"/>
          <w:bCs/>
          <w:color w:val="auto"/>
          <w:sz w:val="24"/>
          <w:szCs w:val="24"/>
          <w:highlight w:val="none"/>
          <w:lang w:eastAsia="zh-CN"/>
        </w:rPr>
        <w:t>、</w:t>
      </w:r>
      <w:r>
        <w:rPr>
          <w:rFonts w:hint="default" w:ascii="宋体" w:hAnsi="宋体" w:cs="Times New Roman" w:eastAsiaTheme="minorEastAsia"/>
          <w:color w:val="auto"/>
          <w:kern w:val="2"/>
          <w:sz w:val="24"/>
          <w:szCs w:val="24"/>
          <w:highlight w:val="none"/>
          <w:lang w:val="en-US" w:eastAsia="zh-CN" w:bidi="ar-SA"/>
        </w:rPr>
        <w:t>品质好</w:t>
      </w:r>
      <w:r>
        <w:rPr>
          <w:rFonts w:hint="eastAsia" w:ascii="宋体" w:hAnsi="宋体" w:cs="Times New Roman"/>
          <w:color w:val="auto"/>
          <w:kern w:val="2"/>
          <w:sz w:val="24"/>
          <w:szCs w:val="24"/>
          <w:highlight w:val="none"/>
          <w:lang w:val="en-US" w:eastAsia="zh-CN" w:bidi="ar-SA"/>
        </w:rPr>
        <w:t>的新鲜肉类</w:t>
      </w:r>
      <w:r>
        <w:rPr>
          <w:rFonts w:hint="default" w:ascii="宋体" w:hAnsi="宋体" w:cs="Times New Roman" w:eastAsiaTheme="minorEastAsia"/>
          <w:color w:val="auto"/>
          <w:kern w:val="2"/>
          <w:sz w:val="24"/>
          <w:szCs w:val="24"/>
          <w:highlight w:val="none"/>
          <w:lang w:val="en-US" w:eastAsia="zh-CN" w:bidi="ar-SA"/>
        </w:rPr>
        <w:t>；</w:t>
      </w:r>
    </w:p>
    <w:p w14:paraId="0B3B9F1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cs="Times New Roman" w:eastAsiaTheme="minorEastAsia"/>
          <w:color w:val="auto"/>
          <w:kern w:val="2"/>
          <w:sz w:val="24"/>
          <w:szCs w:val="24"/>
          <w:highlight w:val="none"/>
          <w:lang w:val="en-US" w:eastAsia="zh-CN" w:bidi="ar-SA"/>
        </w:rPr>
      </w:pPr>
      <w:r>
        <w:rPr>
          <w:rFonts w:hint="default" w:ascii="宋体" w:hAnsi="宋体" w:cs="Times New Roman" w:eastAsiaTheme="minorEastAsia"/>
          <w:b/>
          <w:bCs/>
          <w:color w:val="auto"/>
          <w:kern w:val="2"/>
          <w:sz w:val="24"/>
          <w:szCs w:val="24"/>
          <w:highlight w:val="none"/>
          <w:lang w:val="en-US" w:eastAsia="zh-CN" w:bidi="ar-SA"/>
        </w:rPr>
        <w:t>2、牛、羊肉：</w:t>
      </w:r>
      <w:r>
        <w:rPr>
          <w:rFonts w:hint="default" w:ascii="宋体" w:hAnsi="宋体" w:cs="Times New Roman" w:eastAsiaTheme="minorEastAsia"/>
          <w:color w:val="auto"/>
          <w:kern w:val="2"/>
          <w:sz w:val="24"/>
          <w:szCs w:val="24"/>
          <w:highlight w:val="none"/>
          <w:lang w:val="en-US" w:eastAsia="zh-CN" w:bidi="ar-SA"/>
        </w:rPr>
        <w:t>产品符合</w:t>
      </w:r>
      <w:r>
        <w:rPr>
          <w:rFonts w:hint="eastAsia" w:cs="Times New Roman" w:asciiTheme="minorEastAsia" w:hAnsiTheme="minorEastAsia"/>
          <w:color w:val="auto"/>
          <w:kern w:val="0"/>
          <w:sz w:val="24"/>
          <w:highlight w:val="none"/>
          <w:lang w:val="en-US" w:eastAsia="zh-CN"/>
        </w:rPr>
        <w:t>国家食品安全卫生标准</w:t>
      </w:r>
      <w:r>
        <w:rPr>
          <w:rFonts w:hint="default" w:ascii="宋体" w:hAnsi="宋体" w:cs="Times New Roman" w:eastAsiaTheme="minorEastAsia"/>
          <w:color w:val="auto"/>
          <w:kern w:val="2"/>
          <w:sz w:val="24"/>
          <w:szCs w:val="24"/>
          <w:highlight w:val="none"/>
          <w:lang w:val="en-US" w:eastAsia="zh-CN" w:bidi="ar-SA"/>
        </w:rPr>
        <w:t>。必须保证肉品表皮洁净、膘厚适中、色泽鲜亮、纹理清晰、肉质细腻、无异味、无毛、按压无水迹、</w:t>
      </w:r>
      <w:r>
        <w:rPr>
          <w:rFonts w:hint="eastAsia" w:ascii="宋体" w:hAnsi="宋体" w:eastAsia="宋体" w:cs="宋体"/>
          <w:b w:val="0"/>
          <w:bCs/>
          <w:color w:val="auto"/>
          <w:sz w:val="24"/>
          <w:szCs w:val="24"/>
          <w:highlight w:val="none"/>
        </w:rPr>
        <w:t>指压凹陷能立即恢复</w:t>
      </w:r>
      <w:r>
        <w:rPr>
          <w:rFonts w:hint="eastAsia" w:ascii="宋体" w:hAnsi="宋体" w:eastAsia="宋体" w:cs="宋体"/>
          <w:b w:val="0"/>
          <w:bCs/>
          <w:color w:val="auto"/>
          <w:sz w:val="24"/>
          <w:szCs w:val="24"/>
          <w:highlight w:val="none"/>
          <w:lang w:eastAsia="zh-CN"/>
        </w:rPr>
        <w:t>、</w:t>
      </w:r>
      <w:r>
        <w:rPr>
          <w:rFonts w:hint="default" w:ascii="宋体" w:hAnsi="宋体" w:cs="Times New Roman" w:eastAsiaTheme="minorEastAsia"/>
          <w:color w:val="auto"/>
          <w:kern w:val="2"/>
          <w:sz w:val="24"/>
          <w:szCs w:val="24"/>
          <w:highlight w:val="none"/>
          <w:lang w:val="en-US" w:eastAsia="zh-CN" w:bidi="ar-SA"/>
        </w:rPr>
        <w:t>品质好</w:t>
      </w:r>
      <w:r>
        <w:rPr>
          <w:rFonts w:hint="eastAsia" w:ascii="宋体" w:hAnsi="宋体" w:cs="Times New Roman"/>
          <w:color w:val="auto"/>
          <w:kern w:val="2"/>
          <w:sz w:val="24"/>
          <w:szCs w:val="24"/>
          <w:highlight w:val="none"/>
          <w:lang w:val="en-US" w:eastAsia="zh-CN" w:bidi="ar-SA"/>
        </w:rPr>
        <w:t>的</w:t>
      </w:r>
      <w:r>
        <w:rPr>
          <w:rFonts w:hint="default" w:ascii="宋体" w:hAnsi="宋体" w:cs="Times New Roman" w:eastAsiaTheme="minorEastAsia"/>
          <w:color w:val="auto"/>
          <w:kern w:val="2"/>
          <w:sz w:val="24"/>
          <w:szCs w:val="24"/>
          <w:highlight w:val="none"/>
          <w:lang w:val="en-US" w:eastAsia="zh-CN" w:bidi="ar-SA"/>
        </w:rPr>
        <w:t>新鲜牛、羊肉；</w:t>
      </w:r>
    </w:p>
    <w:p w14:paraId="6AC693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default" w:ascii="宋体" w:hAnsi="宋体" w:cs="Times New Roman" w:eastAsiaTheme="minorEastAsia"/>
          <w:color w:val="auto"/>
          <w:kern w:val="2"/>
          <w:sz w:val="24"/>
          <w:szCs w:val="24"/>
          <w:highlight w:val="none"/>
          <w:lang w:val="en-US" w:eastAsia="zh-CN" w:bidi="ar-SA"/>
        </w:rPr>
      </w:pPr>
      <w:r>
        <w:rPr>
          <w:rFonts w:hint="default" w:ascii="宋体" w:hAnsi="宋体" w:cs="Times New Roman" w:eastAsiaTheme="minorEastAsia"/>
          <w:b/>
          <w:bCs/>
          <w:color w:val="auto"/>
          <w:kern w:val="2"/>
          <w:sz w:val="24"/>
          <w:szCs w:val="24"/>
          <w:highlight w:val="none"/>
          <w:lang w:val="en-US" w:eastAsia="zh-CN" w:bidi="ar-SA"/>
        </w:rPr>
        <w:t>3、鸡、鸭肉（鲜）：</w:t>
      </w:r>
      <w:r>
        <w:rPr>
          <w:rFonts w:hint="default" w:ascii="宋体" w:hAnsi="宋体" w:cs="Times New Roman" w:eastAsiaTheme="minorEastAsia"/>
          <w:color w:val="auto"/>
          <w:kern w:val="2"/>
          <w:sz w:val="24"/>
          <w:szCs w:val="24"/>
          <w:highlight w:val="none"/>
          <w:lang w:val="en-US" w:eastAsia="zh-CN" w:bidi="ar-SA"/>
        </w:rPr>
        <w:t>产品符合</w:t>
      </w:r>
      <w:r>
        <w:rPr>
          <w:rFonts w:hint="eastAsia" w:cs="Times New Roman" w:asciiTheme="minorEastAsia" w:hAnsiTheme="minorEastAsia"/>
          <w:color w:val="auto"/>
          <w:kern w:val="0"/>
          <w:sz w:val="24"/>
          <w:highlight w:val="none"/>
          <w:lang w:val="en-US" w:eastAsia="zh-CN"/>
        </w:rPr>
        <w:t>国家食品安全卫生标准</w:t>
      </w:r>
      <w:r>
        <w:rPr>
          <w:rFonts w:hint="default" w:ascii="宋体" w:hAnsi="宋体" w:cs="Times New Roman" w:eastAsiaTheme="minorEastAsia"/>
          <w:color w:val="auto"/>
          <w:kern w:val="2"/>
          <w:sz w:val="24"/>
          <w:szCs w:val="24"/>
          <w:highlight w:val="none"/>
          <w:lang w:val="en-US" w:eastAsia="zh-CN" w:bidi="ar-SA"/>
        </w:rPr>
        <w:t>。必须保证</w:t>
      </w:r>
      <w:r>
        <w:rPr>
          <w:rFonts w:hint="eastAsia" w:ascii="宋体" w:hAnsi="宋体" w:cs="Times New Roman"/>
          <w:color w:val="auto"/>
          <w:kern w:val="2"/>
          <w:sz w:val="24"/>
          <w:szCs w:val="24"/>
          <w:highlight w:val="none"/>
          <w:lang w:val="en-US" w:eastAsia="zh-CN" w:bidi="ar-SA"/>
        </w:rPr>
        <w:t>肉品</w:t>
      </w:r>
      <w:r>
        <w:rPr>
          <w:rFonts w:hint="eastAsia" w:ascii="宋体" w:hAnsi="宋体" w:eastAsia="宋体" w:cs="宋体"/>
          <w:b w:val="0"/>
          <w:bCs/>
          <w:color w:val="auto"/>
          <w:sz w:val="24"/>
          <w:szCs w:val="24"/>
          <w:highlight w:val="none"/>
        </w:rPr>
        <w:t>表皮色泽微红或呈自然淡黄色，有光泽，皮肤微燥而紧缩，脂肪呈白色或淡黄色；肌肉呈均匀红色，有光泽、弹性良好，指压凹陷能立即恢复；放血充分，切口周围组织呈鲜红色，无淤血、无血污浸润异常现象</w:t>
      </w:r>
      <w:r>
        <w:rPr>
          <w:rFonts w:hint="eastAsia" w:ascii="宋体" w:hAnsi="宋体" w:cs="Times New Roman" w:eastAsiaTheme="minorEastAsia"/>
          <w:color w:val="auto"/>
          <w:kern w:val="2"/>
          <w:sz w:val="24"/>
          <w:szCs w:val="24"/>
          <w:highlight w:val="none"/>
          <w:lang w:val="en-US" w:eastAsia="zh-CN" w:bidi="ar-SA"/>
        </w:rPr>
        <w:t>；</w:t>
      </w:r>
      <w:r>
        <w:rPr>
          <w:rFonts w:hint="eastAsia" w:ascii="宋体" w:hAnsi="宋体" w:cs="Times New Roman"/>
          <w:color w:val="auto"/>
          <w:kern w:val="2"/>
          <w:sz w:val="24"/>
          <w:szCs w:val="24"/>
          <w:highlight w:val="none"/>
          <w:lang w:val="en-US" w:eastAsia="zh-CN" w:bidi="ar-SA"/>
        </w:rPr>
        <w:t>需</w:t>
      </w:r>
      <w:r>
        <w:rPr>
          <w:rFonts w:ascii="宋体" w:hAnsi="宋体" w:eastAsia="宋体" w:cs="宋体"/>
          <w:color w:val="auto"/>
          <w:sz w:val="24"/>
          <w:szCs w:val="24"/>
          <w:highlight w:val="none"/>
        </w:rPr>
        <w:t>去掉心、肝、胃、腹脂、头、脚</w:t>
      </w:r>
      <w:r>
        <w:rPr>
          <w:rFonts w:hint="eastAsia" w:ascii="宋体" w:hAnsi="宋体" w:eastAsia="宋体" w:cs="宋体"/>
          <w:color w:val="auto"/>
          <w:sz w:val="24"/>
          <w:szCs w:val="24"/>
          <w:highlight w:val="none"/>
          <w:lang w:val="en-US" w:eastAsia="zh-CN"/>
        </w:rPr>
        <w:t>等，按</w:t>
      </w:r>
      <w:r>
        <w:rPr>
          <w:rFonts w:ascii="宋体" w:hAnsi="宋体" w:eastAsia="宋体" w:cs="宋体"/>
          <w:color w:val="auto"/>
          <w:sz w:val="24"/>
          <w:szCs w:val="24"/>
          <w:highlight w:val="none"/>
        </w:rPr>
        <w:t>全净膛</w:t>
      </w:r>
      <w:r>
        <w:rPr>
          <w:rFonts w:hint="eastAsia" w:ascii="宋体" w:hAnsi="宋体" w:eastAsia="宋体" w:cs="宋体"/>
          <w:color w:val="auto"/>
          <w:sz w:val="24"/>
          <w:szCs w:val="24"/>
          <w:highlight w:val="none"/>
          <w:lang w:val="en-US" w:eastAsia="zh-CN"/>
        </w:rPr>
        <w:t>标准供货</w:t>
      </w:r>
      <w:r>
        <w:rPr>
          <w:rFonts w:ascii="宋体" w:hAnsi="宋体" w:eastAsia="宋体" w:cs="宋体"/>
          <w:color w:val="auto"/>
          <w:sz w:val="24"/>
          <w:szCs w:val="24"/>
          <w:highlight w:val="none"/>
        </w:rPr>
        <w:t>；</w:t>
      </w:r>
      <w:r>
        <w:rPr>
          <w:rFonts w:hint="default" w:ascii="宋体" w:hAnsi="宋体" w:cs="Times New Roman" w:eastAsiaTheme="minorEastAsia"/>
          <w:b/>
          <w:bCs/>
          <w:color w:val="auto"/>
          <w:kern w:val="2"/>
          <w:sz w:val="24"/>
          <w:szCs w:val="24"/>
          <w:highlight w:val="none"/>
          <w:lang w:val="en-US" w:eastAsia="zh-CN" w:bidi="ar-SA"/>
        </w:rPr>
        <w:t>鸡、鸭肉</w:t>
      </w:r>
      <w:r>
        <w:rPr>
          <w:rFonts w:hint="eastAsia" w:ascii="宋体" w:hAnsi="宋体" w:cs="Times New Roman"/>
          <w:b/>
          <w:bCs/>
          <w:color w:val="auto"/>
          <w:kern w:val="2"/>
          <w:sz w:val="24"/>
          <w:szCs w:val="24"/>
          <w:highlight w:val="none"/>
          <w:lang w:val="en-US" w:eastAsia="zh-CN" w:bidi="ar-SA"/>
        </w:rPr>
        <w:t>重</w:t>
      </w:r>
      <w:r>
        <w:rPr>
          <w:rFonts w:hint="eastAsia" w:ascii="宋体" w:hAnsi="宋体" w:cs="Times New Roman" w:eastAsiaTheme="minorEastAsia"/>
          <w:color w:val="auto"/>
          <w:kern w:val="2"/>
          <w:sz w:val="24"/>
          <w:szCs w:val="24"/>
          <w:highlight w:val="none"/>
          <w:lang w:val="en-US" w:eastAsia="zh-CN" w:bidi="ar-SA"/>
        </w:rPr>
        <w:t>量按</w:t>
      </w:r>
      <w:r>
        <w:rPr>
          <w:rFonts w:hint="eastAsia" w:ascii="宋体" w:hAnsi="宋体" w:cs="Times New Roman"/>
          <w:color w:val="auto"/>
          <w:kern w:val="2"/>
          <w:sz w:val="24"/>
          <w:szCs w:val="24"/>
          <w:highlight w:val="none"/>
          <w:lang w:val="en-US" w:eastAsia="zh-CN" w:bidi="ar-SA"/>
        </w:rPr>
        <w:t>未净膛的鸡、鸭净</w:t>
      </w:r>
      <w:r>
        <w:rPr>
          <w:rFonts w:hint="eastAsia" w:ascii="宋体" w:hAnsi="宋体" w:cs="Times New Roman" w:eastAsiaTheme="minorEastAsia"/>
          <w:color w:val="auto"/>
          <w:kern w:val="2"/>
          <w:sz w:val="24"/>
          <w:szCs w:val="24"/>
          <w:highlight w:val="none"/>
          <w:lang w:val="en-US" w:eastAsia="zh-CN" w:bidi="ar-SA"/>
        </w:rPr>
        <w:t>重量×(1+15%）计算；</w:t>
      </w:r>
    </w:p>
    <w:p w14:paraId="636D77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default" w:ascii="宋体" w:hAnsi="宋体" w:cs="Times New Roman" w:eastAsiaTheme="minorEastAsia"/>
          <w:color w:val="auto"/>
          <w:kern w:val="2"/>
          <w:sz w:val="24"/>
          <w:szCs w:val="24"/>
          <w:highlight w:val="none"/>
          <w:lang w:val="en-US" w:eastAsia="zh-CN" w:bidi="ar-SA"/>
        </w:rPr>
      </w:pPr>
      <w:r>
        <w:rPr>
          <w:rFonts w:hint="default" w:ascii="宋体" w:hAnsi="宋体" w:cs="Times New Roman" w:eastAsiaTheme="minorEastAsia"/>
          <w:b/>
          <w:bCs/>
          <w:color w:val="auto"/>
          <w:kern w:val="2"/>
          <w:sz w:val="24"/>
          <w:szCs w:val="24"/>
          <w:highlight w:val="none"/>
          <w:lang w:val="en-US" w:eastAsia="zh-CN" w:bidi="ar-SA"/>
        </w:rPr>
        <w:t>4、畜禽内脏类：</w:t>
      </w:r>
      <w:r>
        <w:rPr>
          <w:rFonts w:hint="default" w:ascii="宋体" w:hAnsi="宋体" w:cs="Times New Roman" w:eastAsiaTheme="minorEastAsia"/>
          <w:color w:val="auto"/>
          <w:kern w:val="2"/>
          <w:sz w:val="24"/>
          <w:szCs w:val="24"/>
          <w:highlight w:val="none"/>
          <w:lang w:val="en-US" w:eastAsia="zh-CN" w:bidi="ar-SA"/>
        </w:rPr>
        <w:t>产品符合</w:t>
      </w:r>
      <w:r>
        <w:rPr>
          <w:rFonts w:hint="eastAsia" w:cs="Times New Roman" w:asciiTheme="minorEastAsia" w:hAnsiTheme="minorEastAsia"/>
          <w:color w:val="auto"/>
          <w:kern w:val="0"/>
          <w:sz w:val="24"/>
          <w:highlight w:val="none"/>
          <w:lang w:val="en-US" w:eastAsia="zh-CN"/>
        </w:rPr>
        <w:t>国家食品安全卫生标准</w:t>
      </w:r>
      <w:r>
        <w:rPr>
          <w:rFonts w:hint="default" w:ascii="宋体" w:hAnsi="宋体" w:cs="Times New Roman" w:eastAsiaTheme="minorEastAsia"/>
          <w:color w:val="auto"/>
          <w:kern w:val="2"/>
          <w:sz w:val="24"/>
          <w:szCs w:val="24"/>
          <w:highlight w:val="none"/>
          <w:lang w:val="en-US" w:eastAsia="zh-CN" w:bidi="ar-SA"/>
        </w:rPr>
        <w:t>。必须保</w:t>
      </w:r>
      <w:r>
        <w:rPr>
          <w:rFonts w:hint="eastAsia" w:ascii="宋体" w:hAnsi="宋体" w:cs="Times New Roman"/>
          <w:color w:val="auto"/>
          <w:kern w:val="2"/>
          <w:sz w:val="24"/>
          <w:szCs w:val="24"/>
          <w:highlight w:val="none"/>
          <w:lang w:val="en-US" w:eastAsia="zh-CN" w:bidi="ar-SA"/>
        </w:rPr>
        <w:t>证</w:t>
      </w:r>
      <w:r>
        <w:rPr>
          <w:rFonts w:hint="default" w:ascii="宋体" w:hAnsi="宋体" w:cs="Times New Roman" w:eastAsiaTheme="minorEastAsia"/>
          <w:color w:val="auto"/>
          <w:kern w:val="2"/>
          <w:sz w:val="24"/>
          <w:szCs w:val="24"/>
          <w:highlight w:val="none"/>
          <w:lang w:val="en-US" w:eastAsia="zh-CN" w:bidi="ar-SA"/>
        </w:rPr>
        <w:t>表皮洁净、色泽鲜亮、纹理清晰、无异味、按压无水迹、品质好</w:t>
      </w:r>
      <w:r>
        <w:rPr>
          <w:rFonts w:hint="eastAsia" w:ascii="宋体" w:hAnsi="宋体" w:cs="Times New Roman"/>
          <w:color w:val="auto"/>
          <w:kern w:val="2"/>
          <w:sz w:val="24"/>
          <w:szCs w:val="24"/>
          <w:highlight w:val="none"/>
          <w:lang w:val="en-US" w:eastAsia="zh-CN" w:bidi="ar-SA"/>
        </w:rPr>
        <w:t>的新鲜</w:t>
      </w:r>
      <w:r>
        <w:rPr>
          <w:rFonts w:hint="default" w:ascii="宋体" w:hAnsi="宋体" w:cs="Times New Roman" w:eastAsiaTheme="minorEastAsia"/>
          <w:color w:val="auto"/>
          <w:kern w:val="2"/>
          <w:sz w:val="24"/>
          <w:szCs w:val="24"/>
          <w:highlight w:val="none"/>
          <w:lang w:val="en-US" w:eastAsia="zh-CN" w:bidi="ar-SA"/>
        </w:rPr>
        <w:t>畜禽内脏。</w:t>
      </w:r>
    </w:p>
    <w:p w14:paraId="7A25851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cs="Times New Roman" w:eastAsiaTheme="minorEastAsia"/>
          <w:color w:val="auto"/>
          <w:kern w:val="2"/>
          <w:sz w:val="24"/>
          <w:szCs w:val="24"/>
          <w:highlight w:val="none"/>
          <w:lang w:val="en-US" w:eastAsia="zh-CN" w:bidi="ar-SA"/>
        </w:rPr>
      </w:pPr>
      <w:r>
        <w:rPr>
          <w:rFonts w:hint="default" w:ascii="宋体" w:hAnsi="宋体" w:cs="Times New Roman" w:eastAsiaTheme="minorEastAsia"/>
          <w:color w:val="auto"/>
          <w:kern w:val="2"/>
          <w:sz w:val="24"/>
          <w:szCs w:val="24"/>
          <w:highlight w:val="none"/>
          <w:lang w:val="en-US" w:eastAsia="zh-CN" w:bidi="ar-SA"/>
        </w:rPr>
        <w:t>5、每次供货时须提供检验合格报告单交予采购人核验，核验无误后方可供货，若无采购人有权拒绝不予结算。</w:t>
      </w:r>
    </w:p>
    <w:p w14:paraId="5E333F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Times New Roman" w:eastAsiaTheme="minorEastAsia"/>
          <w:color w:val="auto"/>
          <w:kern w:val="2"/>
          <w:sz w:val="24"/>
          <w:szCs w:val="24"/>
          <w:highlight w:val="none"/>
          <w:lang w:val="en-US" w:eastAsia="zh-CN" w:bidi="ar-SA"/>
        </w:rPr>
      </w:pPr>
      <w:r>
        <w:rPr>
          <w:rFonts w:hint="default" w:ascii="宋体" w:hAnsi="宋体" w:cs="Times New Roman" w:eastAsiaTheme="minorEastAsia"/>
          <w:color w:val="auto"/>
          <w:kern w:val="2"/>
          <w:sz w:val="24"/>
          <w:szCs w:val="24"/>
          <w:highlight w:val="none"/>
          <w:lang w:val="en-US" w:eastAsia="zh-CN" w:bidi="ar-SA"/>
        </w:rPr>
        <w:t>6、严格实行肉品品质检验“一证一章”制度，每次供应的肉类必须向采购人提供《肉品品质检验合格证》、《福建省食用农产品追溯凭证》</w:t>
      </w:r>
      <w:r>
        <w:rPr>
          <w:rFonts w:hint="eastAsia" w:ascii="宋体" w:hAnsi="宋体" w:cs="Times New Roman"/>
          <w:color w:val="auto"/>
          <w:kern w:val="2"/>
          <w:sz w:val="24"/>
          <w:szCs w:val="24"/>
          <w:highlight w:val="none"/>
          <w:lang w:val="en-US" w:eastAsia="zh-CN" w:bidi="ar-SA"/>
        </w:rPr>
        <w:t>、</w:t>
      </w:r>
      <w:r>
        <w:rPr>
          <w:rFonts w:hint="default" w:ascii="宋体" w:hAnsi="宋体" w:cs="Times New Roman" w:eastAsiaTheme="minorEastAsia"/>
          <w:color w:val="auto"/>
          <w:kern w:val="2"/>
          <w:sz w:val="24"/>
          <w:szCs w:val="24"/>
          <w:highlight w:val="none"/>
          <w:lang w:val="en-US" w:eastAsia="zh-CN" w:bidi="ar-SA"/>
        </w:rPr>
        <w:t>《动物检疫合格证》</w:t>
      </w:r>
      <w:r>
        <w:rPr>
          <w:rFonts w:hint="eastAsia" w:ascii="宋体" w:hAnsi="宋体" w:eastAsia="宋体" w:cs="宋体"/>
          <w:b w:val="0"/>
          <w:bCs/>
          <w:color w:val="auto"/>
          <w:sz w:val="24"/>
          <w:szCs w:val="24"/>
          <w:highlight w:val="none"/>
          <w:lang w:val="en-US" w:eastAsia="zh-CN"/>
        </w:rPr>
        <w:t>和</w:t>
      </w:r>
      <w:r>
        <w:rPr>
          <w:rFonts w:hint="eastAsia" w:ascii="宋体" w:hAnsi="宋体" w:eastAsia="宋体" w:cs="宋体"/>
          <w:b w:val="0"/>
          <w:bCs/>
          <w:color w:val="auto"/>
          <w:sz w:val="24"/>
          <w:szCs w:val="24"/>
          <w:highlight w:val="none"/>
        </w:rPr>
        <w:t>政府规定定点屠宰场出具的屠宰证明，确保食材来自合规屠宰场所。</w:t>
      </w:r>
    </w:p>
    <w:p w14:paraId="55F33FD0">
      <w:pPr>
        <w:pStyle w:val="8"/>
        <w:spacing w:line="440" w:lineRule="exact"/>
        <w:jc w:val="both"/>
        <w:rPr>
          <w:rFonts w:ascii="宋体" w:hAnsi="宋体" w:cs="微软雅黑"/>
          <w:b/>
          <w:bCs/>
          <w:color w:val="auto"/>
          <w:sz w:val="24"/>
          <w:szCs w:val="24"/>
          <w:highlight w:val="none"/>
          <w:lang w:eastAsia="zh-CN"/>
        </w:rPr>
      </w:pPr>
      <w:r>
        <w:rPr>
          <w:rFonts w:ascii="宋体" w:hAnsi="宋体" w:cs="微软雅黑"/>
          <w:b/>
          <w:bCs/>
          <w:color w:val="auto"/>
          <w:sz w:val="24"/>
          <w:szCs w:val="24"/>
          <w:highlight w:val="none"/>
          <w:lang w:eastAsia="zh-CN"/>
        </w:rPr>
        <w:t>（</w:t>
      </w:r>
      <w:r>
        <w:rPr>
          <w:rFonts w:hint="eastAsia" w:ascii="宋体" w:hAnsi="宋体" w:cs="微软雅黑"/>
          <w:b/>
          <w:bCs/>
          <w:color w:val="auto"/>
          <w:sz w:val="24"/>
          <w:szCs w:val="24"/>
          <w:highlight w:val="none"/>
          <w:lang w:val="en-US" w:eastAsia="zh-CN"/>
        </w:rPr>
        <w:t>2</w:t>
      </w:r>
      <w:r>
        <w:rPr>
          <w:rFonts w:ascii="宋体" w:hAnsi="宋体" w:cs="微软雅黑"/>
          <w:b/>
          <w:bCs/>
          <w:color w:val="auto"/>
          <w:sz w:val="24"/>
          <w:szCs w:val="24"/>
          <w:highlight w:val="none"/>
          <w:lang w:eastAsia="zh-CN"/>
        </w:rPr>
        <w:t>）蔬菜类</w:t>
      </w:r>
    </w:p>
    <w:p w14:paraId="75FEC119">
      <w:pPr>
        <w:widowControl/>
        <w:shd w:val="clear" w:color="auto" w:fill="FFFFFF"/>
        <w:spacing w:line="360" w:lineRule="auto"/>
        <w:rPr>
          <w:rFonts w:hint="eastAsia" w:ascii="宋体" w:hAnsi="宋体"/>
          <w:color w:val="auto"/>
          <w:sz w:val="24"/>
          <w:highlight w:val="none"/>
        </w:rPr>
      </w:pPr>
      <w:r>
        <w:rPr>
          <w:rFonts w:hint="eastAsia" w:ascii="宋体" w:hAnsi="宋体"/>
          <w:color w:val="auto"/>
          <w:sz w:val="24"/>
          <w:highlight w:val="none"/>
        </w:rPr>
        <w:t>1、符合国家标准要求，新鲜，无腐烂。</w:t>
      </w:r>
    </w:p>
    <w:p w14:paraId="66F42BAA">
      <w:pPr>
        <w:pStyle w:val="4"/>
        <w:spacing w:before="0" w:beforeAutospacing="0" w:after="0" w:afterAutospacing="0" w:line="360" w:lineRule="auto"/>
        <w:jc w:val="both"/>
        <w:rPr>
          <w:rFonts w:hint="eastAsia" w:cs="Times New Roman"/>
          <w:color w:val="auto"/>
          <w:kern w:val="2"/>
          <w:highlight w:val="none"/>
        </w:rPr>
      </w:pPr>
      <w:r>
        <w:rPr>
          <w:rFonts w:hint="eastAsia" w:cs="Times New Roman"/>
          <w:b/>
          <w:bCs/>
          <w:color w:val="auto"/>
          <w:kern w:val="2"/>
          <w:highlight w:val="none"/>
          <w:lang w:val="en-US" w:eastAsia="zh-CN"/>
        </w:rPr>
        <w:t>2</w:t>
      </w:r>
      <w:r>
        <w:rPr>
          <w:rFonts w:hint="eastAsia" w:cs="Times New Roman"/>
          <w:b/>
          <w:bCs/>
          <w:color w:val="auto"/>
          <w:kern w:val="2"/>
          <w:highlight w:val="none"/>
        </w:rPr>
        <w:t>、茄果类：</w:t>
      </w:r>
      <w:r>
        <w:rPr>
          <w:rFonts w:hint="eastAsia" w:cs="Times New Roman"/>
          <w:color w:val="auto"/>
          <w:kern w:val="2"/>
          <w:highlight w:val="none"/>
        </w:rPr>
        <w:t>果实整洁，成熟度适中，无裂果及空洞现象，茄果不能有裂蒂及果皮变硬现象，无腐烂、异味，无明显机械伤；</w:t>
      </w:r>
    </w:p>
    <w:p w14:paraId="51C9475A">
      <w:pPr>
        <w:pStyle w:val="4"/>
        <w:spacing w:before="0" w:beforeAutospacing="0" w:after="0" w:afterAutospacing="0" w:line="360" w:lineRule="auto"/>
        <w:jc w:val="both"/>
        <w:rPr>
          <w:rFonts w:hint="eastAsia" w:cs="Times New Roman"/>
          <w:color w:val="auto"/>
          <w:kern w:val="2"/>
          <w:highlight w:val="none"/>
        </w:rPr>
      </w:pPr>
      <w:r>
        <w:rPr>
          <w:rFonts w:hint="eastAsia" w:cs="Times New Roman"/>
          <w:b/>
          <w:bCs/>
          <w:color w:val="auto"/>
          <w:kern w:val="2"/>
          <w:highlight w:val="none"/>
          <w:lang w:val="en-US" w:eastAsia="zh-CN"/>
        </w:rPr>
        <w:t>3</w:t>
      </w:r>
      <w:r>
        <w:rPr>
          <w:rFonts w:hint="eastAsia" w:cs="Times New Roman"/>
          <w:b/>
          <w:bCs/>
          <w:color w:val="auto"/>
          <w:kern w:val="2"/>
          <w:highlight w:val="none"/>
        </w:rPr>
        <w:t>、</w:t>
      </w:r>
      <w:r>
        <w:rPr>
          <w:rFonts w:hint="eastAsia" w:cs="Times New Roman"/>
          <w:b/>
          <w:bCs/>
          <w:color w:val="auto"/>
          <w:kern w:val="2"/>
          <w:highlight w:val="none"/>
          <w:lang w:val="en-US" w:eastAsia="zh-CN"/>
        </w:rPr>
        <w:t>根茎</w:t>
      </w:r>
      <w:r>
        <w:rPr>
          <w:rFonts w:hint="eastAsia" w:cs="Times New Roman"/>
          <w:b/>
          <w:bCs/>
          <w:color w:val="auto"/>
          <w:kern w:val="2"/>
          <w:highlight w:val="none"/>
        </w:rPr>
        <w:t>类：</w:t>
      </w:r>
      <w:r>
        <w:rPr>
          <w:rFonts w:hint="eastAsia" w:cs="Times New Roman"/>
          <w:color w:val="auto"/>
          <w:kern w:val="2"/>
          <w:highlight w:val="none"/>
        </w:rPr>
        <w:t>皮细光滑，肉质脆嫩致密新鲜，无腐烂、裂痕、糠心、异味，不带泥沙，不带茎叶和须根；</w:t>
      </w:r>
    </w:p>
    <w:p w14:paraId="7809113F">
      <w:pPr>
        <w:pStyle w:val="4"/>
        <w:spacing w:before="0" w:beforeAutospacing="0" w:after="0" w:afterAutospacing="0" w:line="360" w:lineRule="auto"/>
        <w:jc w:val="both"/>
        <w:rPr>
          <w:rFonts w:hint="eastAsia" w:cs="Times New Roman" w:eastAsiaTheme="minorEastAsia"/>
          <w:color w:val="auto"/>
          <w:kern w:val="2"/>
          <w:highlight w:val="none"/>
          <w:lang w:eastAsia="zh-CN"/>
        </w:rPr>
      </w:pPr>
      <w:r>
        <w:rPr>
          <w:rFonts w:hint="eastAsia" w:cs="Times New Roman"/>
          <w:b/>
          <w:bCs/>
          <w:color w:val="auto"/>
          <w:kern w:val="2"/>
          <w:highlight w:val="none"/>
          <w:lang w:val="en-US" w:eastAsia="zh-CN"/>
        </w:rPr>
        <w:t>4</w:t>
      </w:r>
      <w:r>
        <w:rPr>
          <w:rFonts w:hint="eastAsia" w:cs="Times New Roman"/>
          <w:b/>
          <w:bCs/>
          <w:color w:val="auto"/>
          <w:kern w:val="2"/>
          <w:highlight w:val="none"/>
        </w:rPr>
        <w:t>、薯芋类：</w:t>
      </w:r>
      <w:r>
        <w:rPr>
          <w:rFonts w:hint="eastAsia" w:cs="Times New Roman"/>
          <w:color w:val="auto"/>
          <w:kern w:val="2"/>
          <w:highlight w:val="none"/>
        </w:rPr>
        <w:t>色泽一致，无腐烂、异味、无病虫害斑；</w:t>
      </w:r>
      <w:r>
        <w:rPr>
          <w:rFonts w:hint="eastAsia" w:cs="Times New Roman"/>
          <w:color w:val="auto"/>
          <w:kern w:val="2"/>
          <w:highlight w:val="none"/>
          <w:lang w:val="en-US" w:eastAsia="zh-CN"/>
        </w:rPr>
        <w:t>货物重量按去皮后重量</w:t>
      </w:r>
      <w:r>
        <w:rPr>
          <w:rFonts w:hint="eastAsia" w:cs="Times New Roman"/>
          <w:color w:val="auto"/>
          <w:kern w:val="2"/>
          <w:highlight w:val="none"/>
        </w:rPr>
        <w:t>×(1</w:t>
      </w:r>
      <w:r>
        <w:rPr>
          <w:rFonts w:hint="eastAsia" w:cs="Times New Roman"/>
          <w:color w:val="auto"/>
          <w:kern w:val="2"/>
          <w:highlight w:val="none"/>
          <w:lang w:val="en-US" w:eastAsia="zh-CN"/>
        </w:rPr>
        <w:t>+15%）计算</w:t>
      </w:r>
      <w:r>
        <w:rPr>
          <w:rFonts w:hint="eastAsia" w:cs="Times New Roman"/>
          <w:color w:val="auto"/>
          <w:kern w:val="2"/>
          <w:highlight w:val="none"/>
          <w:lang w:eastAsia="zh-CN"/>
        </w:rPr>
        <w:t>；</w:t>
      </w:r>
    </w:p>
    <w:p w14:paraId="7A91AA86">
      <w:pPr>
        <w:pStyle w:val="4"/>
        <w:spacing w:before="0" w:beforeAutospacing="0" w:after="0" w:afterAutospacing="0" w:line="360" w:lineRule="auto"/>
        <w:jc w:val="both"/>
        <w:rPr>
          <w:rFonts w:hint="eastAsia" w:eastAsia="宋体" w:cs="Times New Roman"/>
          <w:color w:val="auto"/>
          <w:kern w:val="2"/>
          <w:highlight w:val="none"/>
          <w:lang w:val="en-US" w:eastAsia="zh-CN"/>
        </w:rPr>
      </w:pPr>
      <w:r>
        <w:rPr>
          <w:rFonts w:hint="eastAsia" w:cs="Times New Roman"/>
          <w:b/>
          <w:bCs/>
          <w:color w:val="auto"/>
          <w:kern w:val="2"/>
          <w:highlight w:val="none"/>
          <w:lang w:val="en-US" w:eastAsia="zh-CN"/>
        </w:rPr>
        <w:t>5、浅色叶花茎类菜：</w:t>
      </w:r>
      <w:r>
        <w:rPr>
          <w:rFonts w:ascii="宋体" w:hAnsi="宋体" w:eastAsia="宋体" w:cs="宋体"/>
          <w:color w:val="auto"/>
          <w:sz w:val="24"/>
          <w:szCs w:val="24"/>
          <w:highlight w:val="none"/>
        </w:rPr>
        <w:t>株型完整，大小均匀，无严重破损、无折断、无挤压烂叶</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叶片挺括、舒展有光泽，不萎蔫、不发软、不发黄、不焦边</w:t>
      </w:r>
      <w:r>
        <w:rPr>
          <w:rFonts w:hint="eastAsia" w:ascii="宋体" w:hAnsi="宋体" w:eastAsia="宋体" w:cs="宋体"/>
          <w:color w:val="auto"/>
          <w:sz w:val="24"/>
          <w:szCs w:val="24"/>
          <w:highlight w:val="none"/>
          <w:lang w:eastAsia="zh-CN"/>
        </w:rPr>
        <w:t>。</w:t>
      </w:r>
    </w:p>
    <w:p w14:paraId="638FA54A">
      <w:pPr>
        <w:pStyle w:val="4"/>
        <w:spacing w:before="0" w:beforeAutospacing="0" w:after="0" w:afterAutospacing="0" w:line="360" w:lineRule="auto"/>
        <w:jc w:val="both"/>
        <w:rPr>
          <w:rFonts w:cs="Times New Roman"/>
          <w:color w:val="auto"/>
          <w:kern w:val="2"/>
          <w:highlight w:val="none"/>
        </w:rPr>
      </w:pPr>
      <w:r>
        <w:rPr>
          <w:rFonts w:hint="eastAsia" w:cs="Times New Roman"/>
          <w:b/>
          <w:bCs/>
          <w:color w:val="auto"/>
          <w:kern w:val="2"/>
          <w:highlight w:val="none"/>
          <w:lang w:val="en-US" w:eastAsia="zh-CN"/>
        </w:rPr>
        <w:t>6、深色</w:t>
      </w:r>
      <w:r>
        <w:rPr>
          <w:rFonts w:hint="eastAsia" w:cs="Times New Roman"/>
          <w:b/>
          <w:bCs/>
          <w:color w:val="auto"/>
          <w:kern w:val="2"/>
          <w:highlight w:val="none"/>
        </w:rPr>
        <w:t>叶</w:t>
      </w:r>
      <w:r>
        <w:rPr>
          <w:rFonts w:hint="eastAsia" w:cs="Times New Roman"/>
          <w:b/>
          <w:bCs/>
          <w:color w:val="auto"/>
          <w:kern w:val="2"/>
          <w:highlight w:val="none"/>
          <w:lang w:val="en-US" w:eastAsia="zh-CN"/>
        </w:rPr>
        <w:t>花茎类菜</w:t>
      </w:r>
      <w:r>
        <w:rPr>
          <w:rFonts w:hint="eastAsia" w:cs="Times New Roman"/>
          <w:b/>
          <w:bCs/>
          <w:color w:val="auto"/>
          <w:kern w:val="2"/>
          <w:highlight w:val="none"/>
        </w:rPr>
        <w:t>：</w:t>
      </w:r>
      <w:r>
        <w:rPr>
          <w:rFonts w:hint="eastAsia" w:cs="Times New Roman"/>
          <w:color w:val="auto"/>
          <w:kern w:val="2"/>
          <w:highlight w:val="none"/>
        </w:rPr>
        <w:t>鲜嫩形态好，色泽正常，茎基部削平，无枯黄叶、病叶、泥土、明显机械伤和病虫害伤，无烧心焦边、腐烂等现象，无异味，结球叶菜要结球适度；</w:t>
      </w:r>
    </w:p>
    <w:p w14:paraId="0D70A4EE">
      <w:pPr>
        <w:pStyle w:val="4"/>
        <w:spacing w:before="0" w:beforeAutospacing="0" w:after="0" w:afterAutospacing="0" w:line="360" w:lineRule="auto"/>
        <w:jc w:val="both"/>
        <w:rPr>
          <w:rFonts w:hint="eastAsia" w:eastAsia="宋体" w:cs="Times New Roman"/>
          <w:color w:val="auto"/>
          <w:kern w:val="2"/>
          <w:highlight w:val="none"/>
          <w:lang w:val="en-US" w:eastAsia="zh-CN"/>
        </w:rPr>
      </w:pPr>
      <w:r>
        <w:rPr>
          <w:rFonts w:hint="eastAsia" w:cs="Times New Roman"/>
          <w:b/>
          <w:bCs/>
          <w:color w:val="auto"/>
          <w:kern w:val="2"/>
          <w:highlight w:val="none"/>
          <w:lang w:val="en-US" w:eastAsia="zh-CN"/>
        </w:rPr>
        <w:t>7、蘑菇类：</w:t>
      </w:r>
      <w:r>
        <w:rPr>
          <w:rFonts w:ascii="宋体" w:hAnsi="宋体" w:eastAsia="宋体" w:cs="宋体"/>
          <w:color w:val="auto"/>
          <w:sz w:val="24"/>
          <w:szCs w:val="24"/>
          <w:highlight w:val="none"/>
        </w:rPr>
        <w:t>菇体完整</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形状正常，无畸形、无破损、无断裂、无腐烂脱落</w:t>
      </w:r>
      <w:r>
        <w:rPr>
          <w:rFonts w:hint="eastAsia" w:ascii="宋体" w:hAnsi="宋体" w:eastAsia="宋体" w:cs="宋体"/>
          <w:color w:val="auto"/>
          <w:sz w:val="24"/>
          <w:szCs w:val="24"/>
          <w:highlight w:val="none"/>
          <w:lang w:eastAsia="zh-CN"/>
        </w:rPr>
        <w:t>，不过度开伞、不过度老化。</w:t>
      </w:r>
    </w:p>
    <w:p w14:paraId="7AD43F44">
      <w:pPr>
        <w:pStyle w:val="4"/>
        <w:spacing w:before="0" w:beforeAutospacing="0" w:after="0" w:afterAutospacing="0" w:line="360" w:lineRule="auto"/>
        <w:jc w:val="both"/>
        <w:rPr>
          <w:rFonts w:hint="eastAsia" w:cs="Times New Roman"/>
          <w:color w:val="auto"/>
          <w:kern w:val="2"/>
          <w:highlight w:val="none"/>
        </w:rPr>
      </w:pPr>
      <w:r>
        <w:rPr>
          <w:rFonts w:hint="eastAsia" w:cs="Times New Roman"/>
          <w:color w:val="auto"/>
          <w:kern w:val="2"/>
          <w:highlight w:val="none"/>
          <w:lang w:val="en-US" w:eastAsia="zh-CN"/>
        </w:rPr>
        <w:t>8</w:t>
      </w:r>
      <w:r>
        <w:rPr>
          <w:rFonts w:hint="eastAsia" w:cs="Times New Roman"/>
          <w:color w:val="auto"/>
          <w:kern w:val="2"/>
          <w:highlight w:val="none"/>
        </w:rPr>
        <w:t>、</w:t>
      </w:r>
      <w:r>
        <w:rPr>
          <w:rFonts w:hint="eastAsia" w:cs="Times New Roman"/>
          <w:color w:val="auto"/>
          <w:kern w:val="2"/>
          <w:highlight w:val="none"/>
          <w:lang w:eastAsia="zh-CN"/>
        </w:rPr>
        <w:t>投标人</w:t>
      </w:r>
      <w:r>
        <w:rPr>
          <w:rFonts w:hint="eastAsia" w:cs="Times New Roman"/>
          <w:color w:val="auto"/>
          <w:kern w:val="2"/>
          <w:highlight w:val="none"/>
        </w:rPr>
        <w:t>所提供的必须是新鲜蔬菜，蔬菜质量必须符合国家食品卫生管理标准，残留农药不得超过国家规定标准，不得提供腐烂变质、黄叶、烂叶及带泥巴的蔬菜，蔬菜外表不得有人为的水分或过多的虫孔等。若有次现象，情节轻微的采购人有权拒收、退货并进行处罚，情节严重的视为中标人违约，采购人有权没收保证金。</w:t>
      </w:r>
    </w:p>
    <w:p w14:paraId="35B9C1BC">
      <w:pPr>
        <w:pStyle w:val="8"/>
        <w:spacing w:line="360" w:lineRule="auto"/>
        <w:jc w:val="both"/>
        <w:rPr>
          <w:rFonts w:ascii="宋体" w:hAnsi="宋体" w:cs="微软雅黑"/>
          <w:b/>
          <w:bCs/>
          <w:color w:val="auto"/>
          <w:sz w:val="28"/>
          <w:szCs w:val="28"/>
          <w:highlight w:val="none"/>
        </w:rPr>
      </w:pPr>
      <w:r>
        <w:rPr>
          <w:rFonts w:ascii="宋体" w:hAnsi="宋体" w:cs="微软雅黑"/>
          <w:b/>
          <w:bCs/>
          <w:color w:val="auto"/>
          <w:sz w:val="24"/>
          <w:szCs w:val="24"/>
          <w:highlight w:val="none"/>
          <w:lang w:eastAsia="zh-CN"/>
        </w:rPr>
        <w:t>（</w:t>
      </w:r>
      <w:r>
        <w:rPr>
          <w:rFonts w:hint="eastAsia" w:ascii="宋体" w:hAnsi="宋体" w:cs="微软雅黑"/>
          <w:b/>
          <w:bCs/>
          <w:color w:val="auto"/>
          <w:sz w:val="24"/>
          <w:szCs w:val="24"/>
          <w:highlight w:val="none"/>
          <w:lang w:val="en-US" w:eastAsia="zh-CN"/>
        </w:rPr>
        <w:t>3</w:t>
      </w:r>
      <w:r>
        <w:rPr>
          <w:rFonts w:ascii="宋体" w:hAnsi="宋体" w:cs="微软雅黑"/>
          <w:b/>
          <w:bCs/>
          <w:color w:val="auto"/>
          <w:sz w:val="24"/>
          <w:szCs w:val="24"/>
          <w:highlight w:val="none"/>
          <w:lang w:eastAsia="zh-CN"/>
        </w:rPr>
        <w:t>）</w:t>
      </w:r>
      <w:r>
        <w:rPr>
          <w:rFonts w:hint="eastAsia" w:ascii="宋体" w:hAnsi="宋体" w:cs="微软雅黑"/>
          <w:b/>
          <w:bCs/>
          <w:color w:val="auto"/>
          <w:sz w:val="24"/>
          <w:szCs w:val="24"/>
          <w:highlight w:val="none"/>
          <w:lang w:val="en-US" w:eastAsia="zh-CN"/>
        </w:rPr>
        <w:t>水产</w:t>
      </w:r>
      <w:r>
        <w:rPr>
          <w:rFonts w:ascii="宋体" w:hAnsi="宋体" w:cs="微软雅黑"/>
          <w:b/>
          <w:bCs/>
          <w:color w:val="auto"/>
          <w:sz w:val="24"/>
          <w:szCs w:val="24"/>
          <w:highlight w:val="none"/>
          <w:lang w:eastAsia="zh-CN"/>
        </w:rPr>
        <w:t>类</w:t>
      </w:r>
    </w:p>
    <w:p w14:paraId="4C71FBFD">
      <w:pPr>
        <w:widowControl/>
        <w:shd w:val="clear" w:color="auto" w:fill="FFFFFF"/>
        <w:spacing w:line="360" w:lineRule="auto"/>
        <w:rPr>
          <w:rFonts w:ascii="宋体" w:hAnsi="宋体"/>
          <w:color w:val="auto"/>
          <w:sz w:val="24"/>
          <w:highlight w:val="none"/>
        </w:rPr>
      </w:pPr>
      <w:r>
        <w:rPr>
          <w:rFonts w:hint="eastAsia" w:ascii="宋体" w:hAnsi="宋体"/>
          <w:b/>
          <w:bCs/>
          <w:color w:val="auto"/>
          <w:sz w:val="24"/>
          <w:highlight w:val="none"/>
        </w:rPr>
        <w:t>1、鱼类：</w:t>
      </w:r>
      <w:r>
        <w:rPr>
          <w:rFonts w:hint="eastAsia" w:ascii="宋体" w:hAnsi="宋体"/>
          <w:color w:val="auto"/>
          <w:sz w:val="24"/>
          <w:highlight w:val="none"/>
        </w:rPr>
        <w:t>鱼体健康，体态大小匀称，体色鲜明，体表光滑，无嘴烂及其它外表损伤；鱼眼饱满凸出、角膜透明清亮；鱼鳃鳃丝呈鲜红色，黏液透明，具有海水鱼的咸腥味或淡水鱼的土腥味，无异味；鱼体表面有透明黏液，鳞片有光泽且与鱼体贴附紧密，不易脱落；鱼腹部不膨胀，肛孔呈白色、凹陷；所有鱼必须杀好、去除鱼鳞鱼鳃和内脏，货物重量按加</w:t>
      </w:r>
      <w:r>
        <w:rPr>
          <w:rFonts w:hint="eastAsia" w:ascii="宋体" w:hAnsi="宋体"/>
          <w:color w:val="auto"/>
          <w:sz w:val="24"/>
          <w:highlight w:val="none"/>
          <w:lang w:val="en-US" w:eastAsia="zh-CN"/>
        </w:rPr>
        <w:t>宰杀</w:t>
      </w:r>
      <w:r>
        <w:rPr>
          <w:rFonts w:hint="eastAsia" w:ascii="宋体" w:hAnsi="宋体"/>
          <w:color w:val="auto"/>
          <w:sz w:val="24"/>
          <w:highlight w:val="none"/>
        </w:rPr>
        <w:t>后的重量×（1+10%）计算；</w:t>
      </w:r>
    </w:p>
    <w:p w14:paraId="1EA2962F">
      <w:pPr>
        <w:widowControl/>
        <w:shd w:val="clear" w:color="auto" w:fill="FFFFFF"/>
        <w:spacing w:line="360" w:lineRule="auto"/>
        <w:rPr>
          <w:rFonts w:ascii="宋体" w:hAnsi="宋体"/>
          <w:color w:val="auto"/>
          <w:sz w:val="24"/>
          <w:highlight w:val="none"/>
        </w:rPr>
      </w:pPr>
      <w:bookmarkStart w:id="0" w:name="_Toc21744"/>
      <w:bookmarkStart w:id="1" w:name="_Toc25758"/>
      <w:r>
        <w:rPr>
          <w:rFonts w:hint="eastAsia" w:ascii="宋体" w:hAnsi="宋体"/>
          <w:b/>
          <w:bCs/>
          <w:color w:val="auto"/>
          <w:sz w:val="24"/>
          <w:highlight w:val="none"/>
        </w:rPr>
        <w:t>2、虾类：</w:t>
      </w:r>
      <w:r>
        <w:rPr>
          <w:rFonts w:hint="eastAsia" w:ascii="宋体" w:hAnsi="宋体"/>
          <w:color w:val="auto"/>
          <w:sz w:val="24"/>
          <w:highlight w:val="none"/>
        </w:rPr>
        <w:t>鲜活个大，无异味；虾体明亮硬挺没有粘液，虾壳与肉之间紧密，手捏虾肉有弹性，有轻微腥味，反应灵敏活蹦乱跳。</w:t>
      </w:r>
      <w:bookmarkEnd w:id="0"/>
      <w:bookmarkEnd w:id="1"/>
    </w:p>
    <w:p w14:paraId="7B9B808D">
      <w:pPr>
        <w:widowControl/>
        <w:shd w:val="clear" w:color="auto" w:fill="FFFFFF"/>
        <w:spacing w:line="360" w:lineRule="auto"/>
        <w:rPr>
          <w:rFonts w:ascii="宋体" w:hAnsi="宋体"/>
          <w:color w:val="auto"/>
          <w:sz w:val="24"/>
          <w:highlight w:val="none"/>
        </w:rPr>
      </w:pPr>
      <w:r>
        <w:rPr>
          <w:rFonts w:hint="eastAsia" w:ascii="宋体" w:hAnsi="宋体"/>
          <w:b/>
          <w:bCs/>
          <w:color w:val="auto"/>
          <w:sz w:val="24"/>
          <w:highlight w:val="none"/>
        </w:rPr>
        <w:t>3、螺贝类：</w:t>
      </w:r>
      <w:r>
        <w:rPr>
          <w:rFonts w:hint="eastAsia" w:ascii="宋体" w:hAnsi="宋体"/>
          <w:color w:val="auto"/>
          <w:sz w:val="24"/>
          <w:highlight w:val="none"/>
        </w:rPr>
        <w:t>鲜活、个大，无异味。外壳纹路清晰漂亮，无破损缺口；颜色比较一致、有光泽；用手触碰其内膜，能马上移动或合起来；摇晃内不含杂质。</w:t>
      </w:r>
    </w:p>
    <w:p w14:paraId="2FC91672">
      <w:pPr>
        <w:pStyle w:val="4"/>
        <w:spacing w:before="0" w:beforeAutospacing="0" w:after="0" w:afterAutospacing="0" w:line="360" w:lineRule="auto"/>
        <w:jc w:val="both"/>
        <w:rPr>
          <w:rFonts w:hint="default" w:ascii="宋体" w:hAnsi="宋体" w:cs="微软雅黑" w:eastAsiaTheme="minorEastAsia"/>
          <w:b/>
          <w:bCs/>
          <w:color w:val="auto"/>
          <w:kern w:val="0"/>
          <w:sz w:val="24"/>
          <w:szCs w:val="24"/>
          <w:highlight w:val="none"/>
          <w:lang w:val="en-US" w:eastAsia="zh-CN"/>
        </w:rPr>
      </w:pPr>
      <w:r>
        <w:rPr>
          <w:rFonts w:hint="eastAsia" w:ascii="宋体" w:hAnsi="宋体" w:cs="微软雅黑" w:eastAsiaTheme="minorEastAsia"/>
          <w:b/>
          <w:bCs/>
          <w:color w:val="auto"/>
          <w:kern w:val="0"/>
          <w:sz w:val="24"/>
          <w:szCs w:val="24"/>
          <w:highlight w:val="none"/>
          <w:lang w:val="en-US" w:eastAsia="zh-CN"/>
        </w:rPr>
        <w:t>（4）谷类</w:t>
      </w:r>
    </w:p>
    <w:p w14:paraId="3A2AE84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cs="Times New Roman" w:asciiTheme="minorEastAsia" w:hAnsiTheme="minorEastAsia" w:eastAsiaTheme="minorEastAsia"/>
          <w:color w:val="auto"/>
          <w:kern w:val="0"/>
          <w:sz w:val="24"/>
          <w:szCs w:val="24"/>
          <w:highlight w:val="none"/>
          <w:lang w:val="en-US" w:eastAsia="zh-CN" w:bidi="ar-SA"/>
        </w:rPr>
      </w:pPr>
      <w:r>
        <w:rPr>
          <w:rFonts w:hint="eastAsia" w:cs="Times New Roman" w:asciiTheme="minorEastAsia" w:hAnsiTheme="minorEastAsia"/>
          <w:b/>
          <w:bCs/>
          <w:color w:val="auto"/>
          <w:kern w:val="0"/>
          <w:sz w:val="24"/>
          <w:szCs w:val="24"/>
          <w:highlight w:val="none"/>
          <w:lang w:val="en-US" w:eastAsia="zh-CN" w:bidi="ar-SA"/>
        </w:rPr>
        <w:t>1、</w:t>
      </w:r>
      <w:r>
        <w:rPr>
          <w:rFonts w:hint="eastAsia" w:cs="Times New Roman" w:asciiTheme="minorEastAsia" w:hAnsiTheme="minorEastAsia" w:eastAsiaTheme="minorEastAsia"/>
          <w:b/>
          <w:bCs/>
          <w:color w:val="auto"/>
          <w:kern w:val="0"/>
          <w:sz w:val="24"/>
          <w:szCs w:val="24"/>
          <w:highlight w:val="none"/>
          <w:lang w:val="en-US" w:eastAsia="zh-CN" w:bidi="ar-SA"/>
        </w:rPr>
        <w:t>豆类：</w:t>
      </w:r>
      <w:r>
        <w:rPr>
          <w:rFonts w:hint="eastAsia" w:cs="Times New Roman" w:asciiTheme="minorEastAsia" w:hAnsiTheme="minorEastAsia" w:eastAsiaTheme="minorEastAsia"/>
          <w:color w:val="auto"/>
          <w:kern w:val="0"/>
          <w:sz w:val="24"/>
          <w:szCs w:val="24"/>
          <w:highlight w:val="none"/>
          <w:lang w:val="en-US" w:eastAsia="zh-CN" w:bidi="ar-SA"/>
        </w:rPr>
        <w:t>色泽正常，具有豆制品固有气味，形态完整，质地均匀，无发黏、无拉丝、无霉点、无杂质，豆腐、豆干等软硬适中，不松散、不碎烂，原料为非转基因。</w:t>
      </w:r>
    </w:p>
    <w:p w14:paraId="6587E1E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cs="Times New Roman" w:asciiTheme="minorEastAsia" w:hAnsiTheme="minorEastAsia" w:eastAsiaTheme="minorEastAsia"/>
          <w:color w:val="auto"/>
          <w:kern w:val="0"/>
          <w:sz w:val="24"/>
          <w:szCs w:val="24"/>
          <w:highlight w:val="none"/>
          <w:lang w:val="en-US" w:eastAsia="zh-CN" w:bidi="ar-SA"/>
        </w:rPr>
      </w:pPr>
      <w:r>
        <w:rPr>
          <w:rFonts w:hint="eastAsia" w:cs="Times New Roman" w:asciiTheme="minorEastAsia" w:hAnsiTheme="minorEastAsia"/>
          <w:b/>
          <w:bCs/>
          <w:color w:val="auto"/>
          <w:kern w:val="0"/>
          <w:sz w:val="24"/>
          <w:szCs w:val="24"/>
          <w:highlight w:val="none"/>
          <w:lang w:val="en-US" w:eastAsia="zh-CN" w:bidi="ar-SA"/>
        </w:rPr>
        <w:t>2、</w:t>
      </w:r>
      <w:r>
        <w:rPr>
          <w:rFonts w:hint="eastAsia" w:cs="Times New Roman" w:asciiTheme="minorEastAsia" w:hAnsiTheme="minorEastAsia" w:eastAsiaTheme="minorEastAsia"/>
          <w:b/>
          <w:bCs/>
          <w:color w:val="auto"/>
          <w:kern w:val="0"/>
          <w:sz w:val="24"/>
          <w:szCs w:val="24"/>
          <w:highlight w:val="none"/>
          <w:lang w:val="en-US" w:eastAsia="zh-CN" w:bidi="ar-SA"/>
        </w:rPr>
        <w:t>主食制品：</w:t>
      </w:r>
      <w:r>
        <w:rPr>
          <w:rFonts w:hint="eastAsia" w:cs="Times New Roman" w:asciiTheme="minorEastAsia" w:hAnsiTheme="minorEastAsia" w:eastAsiaTheme="minorEastAsia"/>
          <w:color w:val="auto"/>
          <w:kern w:val="0"/>
          <w:sz w:val="24"/>
          <w:szCs w:val="24"/>
          <w:highlight w:val="none"/>
          <w:lang w:val="en-US" w:eastAsia="zh-CN" w:bidi="ar-SA"/>
        </w:rPr>
        <w:t>外形完整、大小均匀，无变形、破损、塌陷、露馅；无明显焦斑、起泡、掉渣。色泽均匀自然，无发灰、发暗、发霉、异常漂白，具有糕点正常香气，口感松软 / 酥脆适宜，不粘牙、不糊口、无苦涩；馅料分布均匀，无霉变、无酸败。</w:t>
      </w:r>
    </w:p>
    <w:p w14:paraId="4E29E3D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cs="Times New Roman"/>
          <w:color w:val="auto"/>
          <w:kern w:val="2"/>
          <w:highlight w:val="none"/>
        </w:rPr>
      </w:pPr>
      <w:r>
        <w:rPr>
          <w:rFonts w:hint="eastAsia" w:cs="Times New Roman" w:asciiTheme="minorEastAsia" w:hAnsiTheme="minorEastAsia"/>
          <w:b/>
          <w:bCs/>
          <w:color w:val="auto"/>
          <w:kern w:val="0"/>
          <w:sz w:val="24"/>
          <w:szCs w:val="24"/>
          <w:highlight w:val="none"/>
          <w:lang w:val="en-US" w:eastAsia="zh-CN" w:bidi="ar-SA"/>
        </w:rPr>
        <w:t>3、</w:t>
      </w:r>
      <w:r>
        <w:rPr>
          <w:rFonts w:hint="eastAsia" w:cs="Times New Roman" w:asciiTheme="minorEastAsia" w:hAnsiTheme="minorEastAsia" w:eastAsiaTheme="minorEastAsia"/>
          <w:b/>
          <w:bCs/>
          <w:color w:val="auto"/>
          <w:kern w:val="0"/>
          <w:sz w:val="24"/>
          <w:szCs w:val="24"/>
          <w:highlight w:val="none"/>
          <w:lang w:val="en-US" w:eastAsia="zh-CN" w:bidi="ar-SA"/>
        </w:rPr>
        <w:t>谷物：</w:t>
      </w:r>
      <w:r>
        <w:rPr>
          <w:rFonts w:hint="eastAsia" w:cs="Times New Roman" w:asciiTheme="minorEastAsia" w:hAnsiTheme="minorEastAsia" w:eastAsiaTheme="minorEastAsia"/>
          <w:color w:val="auto"/>
          <w:kern w:val="0"/>
          <w:sz w:val="24"/>
          <w:szCs w:val="24"/>
          <w:highlight w:val="none"/>
          <w:lang w:val="en-US" w:eastAsia="zh-CN" w:bidi="ar-SA"/>
        </w:rPr>
        <w:t>颗粒饱满、均匀，色泽正常，无发霉、无虫蛀、无结块、无异味。符合 GB 2715《粮食》国家标准，重金属、真菌毒素等不超标，无熏蒸剂残留异常，产品包装、标签、说明书清楚、明显，生产日期、保质期等事项显著标注，容易辨识，符合国家食品安全标准相关规定，农药残留低于国家标准。有生产日期，且供货时至少确保产品还有</w:t>
      </w:r>
      <w:r>
        <w:rPr>
          <w:rFonts w:hint="eastAsia" w:cs="Times New Roman" w:asciiTheme="minorEastAsia" w:hAnsiTheme="minorEastAsia"/>
          <w:color w:val="auto"/>
          <w:kern w:val="0"/>
          <w:sz w:val="24"/>
          <w:szCs w:val="24"/>
          <w:highlight w:val="none"/>
          <w:lang w:val="en-US" w:eastAsia="zh-CN" w:bidi="ar-SA"/>
        </w:rPr>
        <w:t>三</w:t>
      </w:r>
      <w:r>
        <w:rPr>
          <w:rFonts w:hint="eastAsia" w:cs="Times New Roman" w:asciiTheme="minorEastAsia" w:hAnsiTheme="minorEastAsia" w:eastAsiaTheme="minorEastAsia"/>
          <w:color w:val="auto"/>
          <w:kern w:val="0"/>
          <w:sz w:val="24"/>
          <w:szCs w:val="24"/>
          <w:highlight w:val="none"/>
          <w:lang w:val="en-US" w:eastAsia="zh-CN" w:bidi="ar-SA"/>
        </w:rPr>
        <w:t>分</w:t>
      </w:r>
      <w:r>
        <w:rPr>
          <w:rFonts w:hint="eastAsia" w:cs="Times New Roman" w:asciiTheme="minorEastAsia" w:hAnsiTheme="minorEastAsia"/>
          <w:color w:val="auto"/>
          <w:kern w:val="0"/>
          <w:sz w:val="24"/>
          <w:szCs w:val="24"/>
          <w:highlight w:val="none"/>
          <w:lang w:val="en-US" w:eastAsia="zh-CN" w:bidi="ar-SA"/>
        </w:rPr>
        <w:t>二</w:t>
      </w:r>
      <w:r>
        <w:rPr>
          <w:rFonts w:hint="eastAsia" w:cs="Times New Roman" w:asciiTheme="minorEastAsia" w:hAnsiTheme="minorEastAsia" w:eastAsiaTheme="minorEastAsia"/>
          <w:color w:val="auto"/>
          <w:kern w:val="0"/>
          <w:sz w:val="24"/>
          <w:szCs w:val="24"/>
          <w:highlight w:val="none"/>
          <w:lang w:val="en-US" w:eastAsia="zh-CN" w:bidi="ar-SA"/>
        </w:rPr>
        <w:t>及以上的保质期时间。</w:t>
      </w:r>
    </w:p>
    <w:p w14:paraId="59A6B41B">
      <w:pPr>
        <w:pStyle w:val="8"/>
        <w:numPr>
          <w:ilvl w:val="0"/>
          <w:numId w:val="0"/>
        </w:numPr>
        <w:spacing w:line="440" w:lineRule="exact"/>
        <w:ind w:leftChars="0"/>
        <w:jc w:val="both"/>
        <w:rPr>
          <w:rFonts w:hint="default" w:cs="微软雅黑"/>
          <w:b/>
          <w:bCs/>
          <w:color w:val="auto"/>
          <w:kern w:val="0"/>
          <w:sz w:val="24"/>
          <w:szCs w:val="24"/>
          <w:highlight w:val="none"/>
          <w:lang w:val="en-US" w:eastAsia="zh-CN"/>
        </w:rPr>
      </w:pPr>
      <w:r>
        <w:rPr>
          <w:rFonts w:hint="eastAsia" w:ascii="宋体" w:hAnsi="宋体" w:cs="微软雅黑" w:eastAsiaTheme="minorEastAsia"/>
          <w:b/>
          <w:bCs/>
          <w:color w:val="auto"/>
          <w:kern w:val="0"/>
          <w:sz w:val="24"/>
          <w:szCs w:val="24"/>
          <w:highlight w:val="none"/>
          <w:lang w:val="en-US" w:eastAsia="zh-CN" w:bidi="ar-SA"/>
        </w:rPr>
        <w:t>（5）</w:t>
      </w:r>
      <w:r>
        <w:rPr>
          <w:rFonts w:hint="eastAsia" w:cs="微软雅黑"/>
          <w:b/>
          <w:bCs/>
          <w:color w:val="auto"/>
          <w:kern w:val="0"/>
          <w:sz w:val="24"/>
          <w:szCs w:val="24"/>
          <w:highlight w:val="none"/>
          <w:lang w:val="en-US" w:eastAsia="zh-CN"/>
        </w:rPr>
        <w:t>糕点类</w:t>
      </w:r>
      <w:r>
        <w:rPr>
          <w:rFonts w:hint="eastAsia" w:cs="Times New Roman" w:asciiTheme="minorEastAsia" w:hAnsiTheme="minorEastAsia" w:eastAsiaTheme="minorEastAsia"/>
          <w:color w:val="auto"/>
          <w:kern w:val="0"/>
          <w:sz w:val="24"/>
          <w:szCs w:val="24"/>
          <w:highlight w:val="none"/>
          <w:lang w:val="en-US" w:eastAsia="zh-CN"/>
        </w:rPr>
        <w:t>：外形完整、大小均匀，无变形、破损、塌陷、露馅；无明显焦斑、起泡、掉渣。色泽均匀自然，无发灰、发暗、发霉、异常漂白</w:t>
      </w:r>
      <w:r>
        <w:rPr>
          <w:rFonts w:hint="eastAsia" w:cs="Times New Roman" w:asciiTheme="minorEastAsia" w:hAnsiTheme="minorEastAsia"/>
          <w:color w:val="auto"/>
          <w:kern w:val="0"/>
          <w:sz w:val="24"/>
          <w:szCs w:val="24"/>
          <w:highlight w:val="none"/>
          <w:lang w:val="en-US" w:eastAsia="zh-CN"/>
        </w:rPr>
        <w:t>，</w:t>
      </w:r>
      <w:r>
        <w:rPr>
          <w:rFonts w:hint="eastAsia" w:cs="Times New Roman" w:asciiTheme="minorEastAsia" w:hAnsiTheme="minorEastAsia" w:eastAsiaTheme="minorEastAsia"/>
          <w:color w:val="auto"/>
          <w:kern w:val="0"/>
          <w:sz w:val="24"/>
          <w:szCs w:val="24"/>
          <w:highlight w:val="none"/>
          <w:lang w:val="en-US" w:eastAsia="zh-CN"/>
        </w:rPr>
        <w:t>具有糕点正常香气，馅料分布均匀，无霉变。包装：密封完好、无破损、无渗漏、无污染；包装材料符合食品接触材料安全标准。</w:t>
      </w:r>
      <w:r>
        <w:rPr>
          <w:rStyle w:val="7"/>
          <w:rFonts w:ascii="宋体" w:hAnsi="宋体" w:eastAsia="宋体" w:cs="宋体"/>
          <w:color w:val="auto"/>
          <w:sz w:val="24"/>
          <w:szCs w:val="24"/>
          <w:highlight w:val="none"/>
        </w:rPr>
        <w:t>标签信息齐全</w:t>
      </w:r>
      <w:r>
        <w:rPr>
          <w:rStyle w:val="7"/>
          <w:rFonts w:hint="eastAsia" w:ascii="宋体" w:hAnsi="宋体" w:eastAsia="宋体" w:cs="宋体"/>
          <w:color w:val="auto"/>
          <w:sz w:val="24"/>
          <w:szCs w:val="24"/>
          <w:highlight w:val="none"/>
          <w:lang w:eastAsia="zh-CN"/>
        </w:rPr>
        <w:t>，</w:t>
      </w:r>
      <w:r>
        <w:rPr>
          <w:rFonts w:cs="Times New Roman" w:asciiTheme="minorEastAsia" w:hAnsiTheme="minorEastAsia"/>
          <w:color w:val="auto"/>
          <w:sz w:val="24"/>
          <w:szCs w:val="24"/>
          <w:highlight w:val="none"/>
          <w:lang w:eastAsia="zh-CN"/>
        </w:rPr>
        <w:t>符合国家食品安全</w:t>
      </w:r>
      <w:r>
        <w:rPr>
          <w:rFonts w:hint="eastAsia" w:cs="Times New Roman" w:asciiTheme="minorEastAsia" w:hAnsiTheme="minorEastAsia"/>
          <w:color w:val="auto"/>
          <w:sz w:val="24"/>
          <w:szCs w:val="24"/>
          <w:highlight w:val="none"/>
          <w:lang w:val="en-US" w:eastAsia="zh-CN"/>
        </w:rPr>
        <w:t>卫生</w:t>
      </w:r>
      <w:r>
        <w:rPr>
          <w:rFonts w:cs="Times New Roman" w:asciiTheme="minorEastAsia" w:hAnsiTheme="minorEastAsia"/>
          <w:color w:val="auto"/>
          <w:sz w:val="24"/>
          <w:szCs w:val="24"/>
          <w:highlight w:val="none"/>
          <w:lang w:eastAsia="zh-CN"/>
        </w:rPr>
        <w:t>标准相关规定，且供货时至少确保产品还有</w:t>
      </w:r>
      <w:r>
        <w:rPr>
          <w:rFonts w:hint="eastAsia" w:cs="Times New Roman" w:asciiTheme="minorEastAsia" w:hAnsiTheme="minorEastAsia"/>
          <w:color w:val="auto"/>
          <w:sz w:val="24"/>
          <w:szCs w:val="24"/>
          <w:highlight w:val="none"/>
          <w:lang w:val="en-US" w:eastAsia="zh-CN"/>
        </w:rPr>
        <w:t>三</w:t>
      </w:r>
      <w:r>
        <w:rPr>
          <w:rFonts w:cs="Times New Roman" w:asciiTheme="minorEastAsia" w:hAnsiTheme="minorEastAsia"/>
          <w:color w:val="auto"/>
          <w:sz w:val="24"/>
          <w:szCs w:val="24"/>
          <w:highlight w:val="none"/>
          <w:lang w:eastAsia="zh-CN"/>
        </w:rPr>
        <w:t>分</w:t>
      </w:r>
      <w:r>
        <w:rPr>
          <w:rFonts w:hint="eastAsia" w:cs="Times New Roman" w:asciiTheme="minorEastAsia" w:hAnsiTheme="minorEastAsia"/>
          <w:color w:val="auto"/>
          <w:sz w:val="24"/>
          <w:szCs w:val="24"/>
          <w:highlight w:val="none"/>
          <w:lang w:val="en-US" w:eastAsia="zh-CN"/>
        </w:rPr>
        <w:t>二</w:t>
      </w:r>
      <w:r>
        <w:rPr>
          <w:rFonts w:cs="Times New Roman" w:asciiTheme="minorEastAsia" w:hAnsiTheme="minorEastAsia"/>
          <w:color w:val="auto"/>
          <w:sz w:val="24"/>
          <w:szCs w:val="24"/>
          <w:highlight w:val="none"/>
          <w:lang w:eastAsia="zh-CN"/>
        </w:rPr>
        <w:t>及以上的保质期时间。</w:t>
      </w:r>
    </w:p>
    <w:p w14:paraId="7FA7E737">
      <w:pPr>
        <w:pStyle w:val="4"/>
        <w:numPr>
          <w:ilvl w:val="0"/>
          <w:numId w:val="0"/>
        </w:numPr>
        <w:spacing w:before="0" w:beforeAutospacing="0" w:after="0" w:afterAutospacing="0" w:line="360" w:lineRule="auto"/>
        <w:ind w:left="120" w:leftChars="0" w:firstLine="0" w:firstLineChars="0"/>
        <w:jc w:val="both"/>
        <w:rPr>
          <w:rFonts w:hint="eastAsia" w:cs="微软雅黑"/>
          <w:b/>
          <w:bCs/>
          <w:color w:val="auto"/>
          <w:kern w:val="0"/>
          <w:sz w:val="24"/>
          <w:szCs w:val="24"/>
          <w:highlight w:val="none"/>
          <w:lang w:val="en-US" w:eastAsia="zh-CN"/>
        </w:rPr>
      </w:pPr>
      <w:r>
        <w:rPr>
          <w:rFonts w:hint="eastAsia" w:ascii="宋体" w:hAnsi="宋体" w:cs="微软雅黑" w:eastAsiaTheme="minorEastAsia"/>
          <w:b/>
          <w:bCs/>
          <w:color w:val="auto"/>
          <w:kern w:val="0"/>
          <w:sz w:val="24"/>
          <w:szCs w:val="24"/>
          <w:highlight w:val="none"/>
          <w:lang w:val="en-US" w:eastAsia="zh-CN" w:bidi="ar-SA"/>
        </w:rPr>
        <w:t>（6）</w:t>
      </w:r>
      <w:r>
        <w:rPr>
          <w:rFonts w:hint="eastAsia" w:cs="微软雅黑"/>
          <w:b/>
          <w:bCs/>
          <w:color w:val="auto"/>
          <w:kern w:val="0"/>
          <w:sz w:val="24"/>
          <w:szCs w:val="24"/>
          <w:highlight w:val="none"/>
          <w:lang w:val="en-US" w:eastAsia="zh-CN"/>
        </w:rPr>
        <w:t>咸菜类</w:t>
      </w:r>
    </w:p>
    <w:p w14:paraId="1ED49674">
      <w:pPr>
        <w:pStyle w:val="8"/>
        <w:spacing w:line="440" w:lineRule="exact"/>
        <w:jc w:val="both"/>
        <w:rPr>
          <w:rFonts w:hint="default" w:cs="微软雅黑"/>
          <w:b/>
          <w:bCs/>
          <w:color w:val="auto"/>
          <w:kern w:val="0"/>
          <w:sz w:val="24"/>
          <w:szCs w:val="24"/>
          <w:highlight w:val="none"/>
          <w:lang w:val="en-US" w:eastAsia="zh-CN"/>
        </w:rPr>
      </w:pPr>
      <w:r>
        <w:rPr>
          <w:rFonts w:cs="Times New Roman" w:asciiTheme="minorEastAsia" w:hAnsiTheme="minorEastAsia"/>
          <w:color w:val="auto"/>
          <w:sz w:val="24"/>
          <w:szCs w:val="24"/>
          <w:highlight w:val="none"/>
          <w:lang w:eastAsia="zh-CN"/>
        </w:rPr>
        <w:t>均为预包装食品，其中产品包装、标签、说明书清楚、明显，生产日期、保质期等事项显著标注，容易辨识，符合相关食品安全国家标准。气味纯正无异味，黄曲霉素不超过国家规定，不含抗氧化剂，不混合其他无效物质，不添加对人体健康有害的物质。有生产日期，且供货时至少确保产品还有</w:t>
      </w:r>
      <w:r>
        <w:rPr>
          <w:rFonts w:hint="eastAsia" w:cs="Times New Roman" w:asciiTheme="minorEastAsia" w:hAnsiTheme="minorEastAsia"/>
          <w:color w:val="auto"/>
          <w:sz w:val="24"/>
          <w:szCs w:val="24"/>
          <w:highlight w:val="none"/>
          <w:lang w:val="en-US" w:eastAsia="zh-CN"/>
        </w:rPr>
        <w:t>三</w:t>
      </w:r>
      <w:r>
        <w:rPr>
          <w:rFonts w:cs="Times New Roman" w:asciiTheme="minorEastAsia" w:hAnsiTheme="minorEastAsia"/>
          <w:color w:val="auto"/>
          <w:sz w:val="24"/>
          <w:szCs w:val="24"/>
          <w:highlight w:val="none"/>
          <w:lang w:eastAsia="zh-CN"/>
        </w:rPr>
        <w:t>分</w:t>
      </w:r>
      <w:r>
        <w:rPr>
          <w:rFonts w:hint="eastAsia" w:cs="Times New Roman" w:asciiTheme="minorEastAsia" w:hAnsiTheme="minorEastAsia"/>
          <w:color w:val="auto"/>
          <w:sz w:val="24"/>
          <w:szCs w:val="24"/>
          <w:highlight w:val="none"/>
          <w:lang w:val="en-US" w:eastAsia="zh-CN"/>
        </w:rPr>
        <w:t>二</w:t>
      </w:r>
      <w:r>
        <w:rPr>
          <w:rFonts w:cs="Times New Roman" w:asciiTheme="minorEastAsia" w:hAnsiTheme="minorEastAsia"/>
          <w:color w:val="auto"/>
          <w:sz w:val="24"/>
          <w:szCs w:val="24"/>
          <w:highlight w:val="none"/>
          <w:lang w:eastAsia="zh-CN"/>
        </w:rPr>
        <w:t>及以上的保质期时间。</w:t>
      </w:r>
    </w:p>
    <w:p w14:paraId="5F171D66">
      <w:pPr>
        <w:pStyle w:val="8"/>
        <w:spacing w:line="440" w:lineRule="exact"/>
        <w:jc w:val="both"/>
        <w:rPr>
          <w:rFonts w:ascii="宋体" w:hAnsi="宋体" w:cs="微软雅黑"/>
          <w:b/>
          <w:bCs/>
          <w:color w:val="auto"/>
          <w:sz w:val="24"/>
          <w:szCs w:val="24"/>
          <w:highlight w:val="none"/>
          <w:lang w:eastAsia="zh-CN"/>
        </w:rPr>
      </w:pPr>
      <w:r>
        <w:rPr>
          <w:rFonts w:ascii="宋体" w:hAnsi="宋体" w:cs="微软雅黑"/>
          <w:b/>
          <w:bCs/>
          <w:color w:val="auto"/>
          <w:sz w:val="24"/>
          <w:szCs w:val="24"/>
          <w:highlight w:val="none"/>
          <w:lang w:eastAsia="zh-CN"/>
        </w:rPr>
        <w:t>（</w:t>
      </w:r>
      <w:r>
        <w:rPr>
          <w:rFonts w:hint="eastAsia" w:ascii="宋体" w:hAnsi="宋体" w:cs="微软雅黑"/>
          <w:b/>
          <w:bCs/>
          <w:color w:val="auto"/>
          <w:sz w:val="24"/>
          <w:szCs w:val="24"/>
          <w:highlight w:val="none"/>
          <w:lang w:val="en-US" w:eastAsia="zh-CN"/>
        </w:rPr>
        <w:t>7</w:t>
      </w:r>
      <w:r>
        <w:rPr>
          <w:rFonts w:ascii="宋体" w:hAnsi="宋体" w:cs="微软雅黑"/>
          <w:b/>
          <w:bCs/>
          <w:color w:val="auto"/>
          <w:sz w:val="24"/>
          <w:szCs w:val="24"/>
          <w:highlight w:val="none"/>
          <w:lang w:eastAsia="zh-CN"/>
        </w:rPr>
        <w:t>）</w:t>
      </w:r>
      <w:r>
        <w:rPr>
          <w:rFonts w:hint="eastAsia" w:ascii="宋体" w:hAnsi="宋体" w:cs="微软雅黑"/>
          <w:b/>
          <w:bCs/>
          <w:color w:val="auto"/>
          <w:sz w:val="24"/>
          <w:szCs w:val="24"/>
          <w:highlight w:val="none"/>
          <w:lang w:val="en-US" w:eastAsia="zh-CN"/>
        </w:rPr>
        <w:t>禽</w:t>
      </w:r>
      <w:r>
        <w:rPr>
          <w:rFonts w:ascii="宋体" w:hAnsi="宋体" w:cs="微软雅黑"/>
          <w:b/>
          <w:bCs/>
          <w:color w:val="auto"/>
          <w:sz w:val="24"/>
          <w:szCs w:val="24"/>
          <w:highlight w:val="none"/>
          <w:lang w:eastAsia="zh-CN"/>
        </w:rPr>
        <w:t>蛋类</w:t>
      </w:r>
    </w:p>
    <w:p w14:paraId="4B49A8C9">
      <w:pPr>
        <w:pStyle w:val="10"/>
        <w:pageBreakBefore w:val="0"/>
        <w:kinsoku/>
        <w:wordWrap/>
        <w:overflowPunct/>
        <w:topLinePunct w:val="0"/>
        <w:bidi w:val="0"/>
        <w:spacing w:line="500" w:lineRule="exact"/>
        <w:textAlignment w:val="auto"/>
        <w:outlineLvl w:val="0"/>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val="en-US" w:eastAsia="zh-CN"/>
        </w:rPr>
        <w:t>外观感官要求：蛋壳清洁、完整无裂纹，色泽鲜明；提供沙门氏菌等微生物检测合格的报告或证明。严禁供应散黄蛋、霉变蛋、黑贴皮蛋等劣质蛋品。运输过程中需采取防震措施，确保破损率极低。</w:t>
      </w:r>
    </w:p>
    <w:p w14:paraId="515CBAE1">
      <w:pPr>
        <w:pStyle w:val="4"/>
        <w:numPr>
          <w:ilvl w:val="0"/>
          <w:numId w:val="0"/>
        </w:numPr>
        <w:spacing w:before="0" w:beforeAutospacing="0" w:after="0" w:afterAutospacing="0" w:line="360" w:lineRule="auto"/>
        <w:jc w:val="both"/>
        <w:rPr>
          <w:rFonts w:hint="eastAsia" w:cs="Times New Roman"/>
          <w:color w:val="auto"/>
          <w:kern w:val="2"/>
          <w:highlight w:val="none"/>
        </w:rPr>
      </w:pPr>
      <w:r>
        <w:rPr>
          <w:rFonts w:hint="eastAsia" w:ascii="宋体" w:hAnsi="宋体" w:cs="微软雅黑" w:eastAsiaTheme="minorEastAsia"/>
          <w:b/>
          <w:bCs/>
          <w:color w:val="auto"/>
          <w:kern w:val="0"/>
          <w:sz w:val="24"/>
          <w:szCs w:val="24"/>
          <w:highlight w:val="none"/>
          <w:lang w:val="en-US" w:eastAsia="zh-CN" w:bidi="ar-SA"/>
        </w:rPr>
        <w:t>（8）丸子类</w:t>
      </w:r>
    </w:p>
    <w:p w14:paraId="1546321D">
      <w:pPr>
        <w:pStyle w:val="4"/>
        <w:spacing w:before="0" w:beforeAutospacing="0" w:after="0" w:afterAutospacing="0" w:line="360" w:lineRule="auto"/>
        <w:jc w:val="both"/>
        <w:rPr>
          <w:rFonts w:hint="eastAsia" w:cs="Times New Roman"/>
          <w:color w:val="auto"/>
          <w:kern w:val="2"/>
          <w:highlight w:val="none"/>
        </w:rPr>
      </w:pPr>
      <w:r>
        <w:rPr>
          <w:rFonts w:cs="Times New Roman" w:asciiTheme="minorEastAsia" w:hAnsiTheme="minorEastAsia"/>
          <w:color w:val="auto"/>
          <w:sz w:val="24"/>
          <w:szCs w:val="24"/>
          <w:highlight w:val="none"/>
          <w:lang w:eastAsia="zh-CN"/>
        </w:rPr>
        <w:t>为预包装食品，其中产品包装、标签、说明书清楚、明显，生产日期、保质期等事项显著标注，容易辨识，符合相关国家食品安全</w:t>
      </w:r>
      <w:r>
        <w:rPr>
          <w:rFonts w:hint="eastAsia" w:cs="Times New Roman" w:asciiTheme="minorEastAsia" w:hAnsiTheme="minorEastAsia"/>
          <w:color w:val="auto"/>
          <w:sz w:val="24"/>
          <w:szCs w:val="24"/>
          <w:highlight w:val="none"/>
          <w:lang w:val="en-US" w:eastAsia="zh-CN"/>
        </w:rPr>
        <w:t>卫生</w:t>
      </w:r>
      <w:r>
        <w:rPr>
          <w:rFonts w:cs="Times New Roman" w:asciiTheme="minorEastAsia" w:hAnsiTheme="minorEastAsia"/>
          <w:color w:val="auto"/>
          <w:sz w:val="24"/>
          <w:szCs w:val="24"/>
          <w:highlight w:val="none"/>
          <w:lang w:eastAsia="zh-CN"/>
        </w:rPr>
        <w:t>标准，不使用进口及国内中高风险地区冷链食品。所提供的冻品应为无变质、无异味、无腐败、无杂质，非病死禽、畜制品，有生产日期，且供货时至少确保产品还有</w:t>
      </w:r>
      <w:r>
        <w:rPr>
          <w:rFonts w:hint="eastAsia" w:cs="Times New Roman" w:asciiTheme="minorEastAsia" w:hAnsiTheme="minorEastAsia"/>
          <w:color w:val="auto"/>
          <w:sz w:val="24"/>
          <w:szCs w:val="24"/>
          <w:highlight w:val="none"/>
          <w:lang w:val="en-US" w:eastAsia="zh-CN"/>
        </w:rPr>
        <w:t>三</w:t>
      </w:r>
      <w:r>
        <w:rPr>
          <w:rFonts w:cs="Times New Roman" w:asciiTheme="minorEastAsia" w:hAnsiTheme="minorEastAsia"/>
          <w:color w:val="auto"/>
          <w:sz w:val="24"/>
          <w:szCs w:val="24"/>
          <w:highlight w:val="none"/>
          <w:lang w:eastAsia="zh-CN"/>
        </w:rPr>
        <w:t>分</w:t>
      </w:r>
      <w:r>
        <w:rPr>
          <w:rFonts w:hint="eastAsia" w:cs="Times New Roman" w:asciiTheme="minorEastAsia" w:hAnsiTheme="minorEastAsia"/>
          <w:color w:val="auto"/>
          <w:sz w:val="24"/>
          <w:szCs w:val="24"/>
          <w:highlight w:val="none"/>
          <w:lang w:val="en-US" w:eastAsia="zh-CN"/>
        </w:rPr>
        <w:t>二</w:t>
      </w:r>
      <w:r>
        <w:rPr>
          <w:rFonts w:cs="Times New Roman" w:asciiTheme="minorEastAsia" w:hAnsiTheme="minorEastAsia"/>
          <w:color w:val="auto"/>
          <w:sz w:val="24"/>
          <w:szCs w:val="24"/>
          <w:highlight w:val="none"/>
          <w:lang w:eastAsia="zh-CN"/>
        </w:rPr>
        <w:t>及以上的保质期时间</w:t>
      </w:r>
      <w:r>
        <w:rPr>
          <w:rFonts w:hint="eastAsia" w:cs="Times New Roman" w:asciiTheme="minorEastAsia" w:hAnsiTheme="minorEastAsia"/>
          <w:color w:val="auto"/>
          <w:sz w:val="24"/>
          <w:szCs w:val="24"/>
          <w:highlight w:val="none"/>
          <w:lang w:eastAsia="zh-CN"/>
        </w:rPr>
        <w:t>，</w:t>
      </w:r>
      <w:r>
        <w:rPr>
          <w:rFonts w:cs="Times New Roman" w:asciiTheme="minorEastAsia" w:hAnsiTheme="minorEastAsia"/>
          <w:color w:val="auto"/>
          <w:sz w:val="24"/>
          <w:szCs w:val="24"/>
          <w:highlight w:val="none"/>
          <w:lang w:eastAsia="zh-CN"/>
        </w:rPr>
        <w:t>具备满足交易需要的冷冻贮藏设施且应使用冷链车辆进行配送</w:t>
      </w:r>
      <w:r>
        <w:rPr>
          <w:rFonts w:hint="eastAsia" w:cs="Times New Roman" w:asciiTheme="minorEastAsia" w:hAnsiTheme="minorEastAsia"/>
          <w:color w:val="auto"/>
          <w:sz w:val="24"/>
          <w:szCs w:val="24"/>
          <w:highlight w:val="none"/>
          <w:lang w:eastAsia="zh-CN"/>
        </w:rPr>
        <w:t>。</w:t>
      </w:r>
    </w:p>
    <w:p w14:paraId="787A015F">
      <w:pPr>
        <w:pStyle w:val="8"/>
        <w:spacing w:line="440" w:lineRule="exact"/>
        <w:jc w:val="both"/>
        <w:rPr>
          <w:rFonts w:ascii="宋体" w:hAnsi="宋体" w:cs="微软雅黑"/>
          <w:b/>
          <w:bCs/>
          <w:color w:val="auto"/>
          <w:sz w:val="24"/>
          <w:szCs w:val="24"/>
          <w:highlight w:val="none"/>
          <w:lang w:eastAsia="zh-CN"/>
        </w:rPr>
      </w:pPr>
      <w:r>
        <w:rPr>
          <w:rFonts w:ascii="宋体" w:hAnsi="宋体" w:cs="微软雅黑"/>
          <w:b/>
          <w:bCs/>
          <w:color w:val="auto"/>
          <w:sz w:val="24"/>
          <w:szCs w:val="24"/>
          <w:highlight w:val="none"/>
          <w:lang w:eastAsia="zh-CN"/>
        </w:rPr>
        <w:t>（</w:t>
      </w:r>
      <w:r>
        <w:rPr>
          <w:rFonts w:hint="eastAsia" w:ascii="宋体" w:hAnsi="宋体" w:cs="微软雅黑"/>
          <w:b/>
          <w:bCs/>
          <w:color w:val="auto"/>
          <w:sz w:val="24"/>
          <w:szCs w:val="24"/>
          <w:highlight w:val="none"/>
          <w:lang w:val="en-US" w:eastAsia="zh-CN"/>
        </w:rPr>
        <w:t>9</w:t>
      </w:r>
      <w:r>
        <w:rPr>
          <w:rFonts w:ascii="宋体" w:hAnsi="宋体" w:cs="微软雅黑"/>
          <w:b/>
          <w:bCs/>
          <w:color w:val="auto"/>
          <w:sz w:val="24"/>
          <w:szCs w:val="24"/>
          <w:highlight w:val="none"/>
          <w:lang w:eastAsia="zh-CN"/>
        </w:rPr>
        <w:t>）水果类</w:t>
      </w:r>
    </w:p>
    <w:p w14:paraId="77F58D49">
      <w:pPr>
        <w:pStyle w:val="8"/>
        <w:spacing w:line="360" w:lineRule="auto"/>
        <w:jc w:val="both"/>
        <w:rPr>
          <w:rFonts w:hint="default" w:cs="Times New Roman"/>
          <w:color w:val="auto"/>
          <w:kern w:val="2"/>
          <w:highlight w:val="none"/>
          <w:lang w:val="en-US" w:eastAsia="zh-CN"/>
        </w:rPr>
      </w:pPr>
      <w:r>
        <w:rPr>
          <w:rFonts w:ascii="宋体" w:hAnsi="宋体"/>
          <w:color w:val="auto"/>
          <w:kern w:val="2"/>
          <w:sz w:val="24"/>
          <w:szCs w:val="24"/>
          <w:highlight w:val="none"/>
          <w:lang w:eastAsia="zh-CN"/>
        </w:rPr>
        <w:t>日期新鲜。所有水果应当果面光洁，大小均匀、果实饱满，水分充足。表皮紧硬不开裂、不空心、不糠心、不黑心、弹击有实心感：干净清洁、无泥沙、根形完整、无畸形，无细小根、无害虫、无腐烂、无变质、无折断、农药残留符合国家标准。</w:t>
      </w:r>
    </w:p>
    <w:p w14:paraId="25F953E1">
      <w:pPr>
        <w:pStyle w:val="4"/>
        <w:numPr>
          <w:ilvl w:val="0"/>
          <w:numId w:val="0"/>
        </w:numPr>
        <w:spacing w:before="0" w:beforeAutospacing="0" w:after="0" w:afterAutospacing="0" w:line="360" w:lineRule="auto"/>
        <w:jc w:val="both"/>
        <w:rPr>
          <w:rFonts w:hint="default" w:cs="Times New Roman"/>
          <w:b/>
          <w:bCs/>
          <w:color w:val="auto"/>
          <w:kern w:val="2"/>
          <w:highlight w:val="none"/>
          <w:lang w:val="en-US" w:eastAsia="zh-CN"/>
        </w:rPr>
      </w:pPr>
      <w:r>
        <w:rPr>
          <w:rFonts w:hint="eastAsia" w:cs="Times New Roman"/>
          <w:b/>
          <w:bCs/>
          <w:color w:val="auto"/>
          <w:kern w:val="2"/>
          <w:highlight w:val="none"/>
          <w:lang w:val="en-US" w:eastAsia="zh-CN"/>
        </w:rPr>
        <w:t>干货采购类别</w:t>
      </w:r>
    </w:p>
    <w:p w14:paraId="3A7B9B71">
      <w:pPr>
        <w:pStyle w:val="8"/>
        <w:spacing w:line="440" w:lineRule="exact"/>
        <w:jc w:val="both"/>
        <w:rPr>
          <w:rFonts w:hint="default" w:ascii="宋体" w:hAnsi="宋体" w:cs="微软雅黑"/>
          <w:b/>
          <w:bCs/>
          <w:color w:val="auto"/>
          <w:sz w:val="24"/>
          <w:szCs w:val="24"/>
          <w:highlight w:val="none"/>
          <w:lang w:val="en-US" w:eastAsia="zh-CN"/>
        </w:rPr>
      </w:pPr>
      <w:r>
        <w:rPr>
          <w:rFonts w:ascii="宋体" w:hAnsi="宋体" w:cs="微软雅黑"/>
          <w:b/>
          <w:bCs/>
          <w:color w:val="auto"/>
          <w:sz w:val="24"/>
          <w:szCs w:val="24"/>
          <w:highlight w:val="none"/>
          <w:lang w:eastAsia="zh-CN"/>
        </w:rPr>
        <w:t>（</w:t>
      </w:r>
      <w:r>
        <w:rPr>
          <w:rFonts w:hint="eastAsia" w:ascii="宋体" w:hAnsi="宋体" w:cs="微软雅黑"/>
          <w:b/>
          <w:bCs/>
          <w:color w:val="auto"/>
          <w:sz w:val="24"/>
          <w:szCs w:val="24"/>
          <w:highlight w:val="none"/>
          <w:lang w:val="en-US" w:eastAsia="zh-CN"/>
        </w:rPr>
        <w:t>1</w:t>
      </w:r>
      <w:r>
        <w:rPr>
          <w:rFonts w:ascii="宋体" w:hAnsi="宋体" w:cs="微软雅黑"/>
          <w:b/>
          <w:bCs/>
          <w:color w:val="auto"/>
          <w:sz w:val="24"/>
          <w:szCs w:val="24"/>
          <w:highlight w:val="none"/>
          <w:lang w:eastAsia="zh-CN"/>
        </w:rPr>
        <w:t>）</w:t>
      </w:r>
      <w:r>
        <w:rPr>
          <w:rFonts w:hint="eastAsia" w:ascii="宋体" w:hAnsi="宋体" w:cs="微软雅黑"/>
          <w:b/>
          <w:bCs/>
          <w:color w:val="auto"/>
          <w:sz w:val="24"/>
          <w:szCs w:val="24"/>
          <w:highlight w:val="none"/>
          <w:lang w:val="en-US" w:eastAsia="zh-CN"/>
        </w:rPr>
        <w:t>液态调味品</w:t>
      </w:r>
    </w:p>
    <w:p w14:paraId="4C0420A0">
      <w:pPr>
        <w:pStyle w:val="8"/>
        <w:spacing w:line="440" w:lineRule="exact"/>
        <w:jc w:val="both"/>
        <w:rPr>
          <w:rFonts w:cs="Times New Roman" w:asciiTheme="minorEastAsia" w:hAnsiTheme="minorEastAsia"/>
          <w:color w:val="auto"/>
          <w:sz w:val="24"/>
          <w:szCs w:val="24"/>
          <w:highlight w:val="none"/>
          <w:lang w:eastAsia="zh-CN"/>
        </w:rPr>
      </w:pPr>
      <w:r>
        <w:rPr>
          <w:rFonts w:cs="Times New Roman" w:asciiTheme="minorEastAsia" w:hAnsiTheme="minorEastAsia"/>
          <w:color w:val="auto"/>
          <w:sz w:val="24"/>
          <w:szCs w:val="24"/>
          <w:highlight w:val="none"/>
          <w:lang w:eastAsia="zh-CN"/>
        </w:rPr>
        <w:t>为预包装食品，其中产品包装、标签、说明书清楚、明显，生产日期、保质期等事项显著标注，容易辨识，符合相关食品安全国家标准。常温下外观清澈透明无悬浮物，气味纯正无异味，黄曲霉素不超过国家规定，不含抗氧化剂，不混合其他无效物质，不添加对人体健康有害的物质。有生产日期，且供货时至少确保产品还有</w:t>
      </w:r>
      <w:r>
        <w:rPr>
          <w:rFonts w:hint="eastAsia" w:cs="Times New Roman" w:asciiTheme="minorEastAsia" w:hAnsiTheme="minorEastAsia"/>
          <w:color w:val="auto"/>
          <w:sz w:val="24"/>
          <w:szCs w:val="24"/>
          <w:highlight w:val="none"/>
          <w:lang w:val="en-US" w:eastAsia="zh-CN"/>
        </w:rPr>
        <w:t>三</w:t>
      </w:r>
      <w:r>
        <w:rPr>
          <w:rFonts w:cs="Times New Roman" w:asciiTheme="minorEastAsia" w:hAnsiTheme="minorEastAsia"/>
          <w:color w:val="auto"/>
          <w:sz w:val="24"/>
          <w:szCs w:val="24"/>
          <w:highlight w:val="none"/>
          <w:lang w:eastAsia="zh-CN"/>
        </w:rPr>
        <w:t>分</w:t>
      </w:r>
      <w:r>
        <w:rPr>
          <w:rFonts w:hint="eastAsia" w:cs="Times New Roman" w:asciiTheme="minorEastAsia" w:hAnsiTheme="minorEastAsia"/>
          <w:color w:val="auto"/>
          <w:sz w:val="24"/>
          <w:szCs w:val="24"/>
          <w:highlight w:val="none"/>
          <w:lang w:val="en-US" w:eastAsia="zh-CN"/>
        </w:rPr>
        <w:t>二</w:t>
      </w:r>
      <w:r>
        <w:rPr>
          <w:rFonts w:cs="Times New Roman" w:asciiTheme="minorEastAsia" w:hAnsiTheme="minorEastAsia"/>
          <w:color w:val="auto"/>
          <w:sz w:val="24"/>
          <w:szCs w:val="24"/>
          <w:highlight w:val="none"/>
          <w:lang w:eastAsia="zh-CN"/>
        </w:rPr>
        <w:t>及以上的保质期时间。</w:t>
      </w:r>
    </w:p>
    <w:p w14:paraId="1100BF57">
      <w:pPr>
        <w:pStyle w:val="8"/>
        <w:numPr>
          <w:ilvl w:val="0"/>
          <w:numId w:val="0"/>
        </w:numPr>
        <w:spacing w:line="440" w:lineRule="exact"/>
        <w:jc w:val="both"/>
        <w:rPr>
          <w:rFonts w:hint="eastAsia" w:cs="Times New Roman" w:asciiTheme="minorEastAsia" w:hAnsiTheme="minorEastAsia"/>
          <w:b/>
          <w:bCs/>
          <w:color w:val="auto"/>
          <w:sz w:val="24"/>
          <w:szCs w:val="24"/>
          <w:highlight w:val="none"/>
          <w:lang w:val="en-US" w:eastAsia="zh-CN"/>
        </w:rPr>
      </w:pPr>
      <w:r>
        <w:rPr>
          <w:rFonts w:hint="eastAsia" w:cs="Times New Roman" w:asciiTheme="minorEastAsia" w:hAnsiTheme="minorEastAsia" w:eastAsiaTheme="minorEastAsia"/>
          <w:b/>
          <w:bCs/>
          <w:color w:val="auto"/>
          <w:sz w:val="24"/>
          <w:szCs w:val="24"/>
          <w:highlight w:val="none"/>
          <w:lang w:val="en-US" w:eastAsia="zh-CN"/>
        </w:rPr>
        <w:t>（2）</w:t>
      </w:r>
      <w:r>
        <w:rPr>
          <w:rFonts w:hint="eastAsia" w:cs="Times New Roman" w:asciiTheme="minorEastAsia" w:hAnsiTheme="minorEastAsia"/>
          <w:b/>
          <w:bCs/>
          <w:color w:val="auto"/>
          <w:sz w:val="24"/>
          <w:szCs w:val="24"/>
          <w:highlight w:val="none"/>
          <w:lang w:val="en-US" w:eastAsia="zh-CN"/>
        </w:rPr>
        <w:t>固态香辛料类</w:t>
      </w:r>
    </w:p>
    <w:p w14:paraId="6F9E957E">
      <w:pPr>
        <w:pStyle w:val="8"/>
        <w:numPr>
          <w:ilvl w:val="0"/>
          <w:numId w:val="0"/>
        </w:numPr>
        <w:spacing w:line="440" w:lineRule="exact"/>
        <w:jc w:val="both"/>
        <w:rPr>
          <w:rFonts w:cs="Times New Roman" w:asciiTheme="minorEastAsia" w:hAnsiTheme="minorEastAsia"/>
          <w:color w:val="auto"/>
          <w:sz w:val="24"/>
          <w:szCs w:val="24"/>
          <w:highlight w:val="none"/>
          <w:lang w:eastAsia="zh-CN"/>
        </w:rPr>
      </w:pPr>
      <w:r>
        <w:rPr>
          <w:rFonts w:cs="Times New Roman" w:asciiTheme="minorEastAsia" w:hAnsiTheme="minorEastAsia"/>
          <w:color w:val="auto"/>
          <w:sz w:val="24"/>
          <w:szCs w:val="24"/>
          <w:highlight w:val="none"/>
          <w:lang w:eastAsia="zh-CN"/>
        </w:rPr>
        <w:t>为预包装食品，其中产品包装、标签、说明书清楚、明显，生产日期、保质期等事项显著标注，容易辨识，符合相关食品安全国家标准。符合国家食品安全标准相关规定，农药残留低于国家标准。有生产日期，且供货时至少确保产品还有</w:t>
      </w:r>
      <w:r>
        <w:rPr>
          <w:rFonts w:hint="eastAsia" w:cs="Times New Roman" w:asciiTheme="minorEastAsia" w:hAnsiTheme="minorEastAsia"/>
          <w:color w:val="auto"/>
          <w:sz w:val="24"/>
          <w:szCs w:val="24"/>
          <w:highlight w:val="none"/>
          <w:lang w:val="en-US" w:eastAsia="zh-CN"/>
        </w:rPr>
        <w:t>三</w:t>
      </w:r>
      <w:r>
        <w:rPr>
          <w:rFonts w:cs="Times New Roman" w:asciiTheme="minorEastAsia" w:hAnsiTheme="minorEastAsia"/>
          <w:color w:val="auto"/>
          <w:sz w:val="24"/>
          <w:szCs w:val="24"/>
          <w:highlight w:val="none"/>
          <w:lang w:eastAsia="zh-CN"/>
        </w:rPr>
        <w:t>分</w:t>
      </w:r>
      <w:r>
        <w:rPr>
          <w:rFonts w:hint="eastAsia" w:cs="Times New Roman" w:asciiTheme="minorEastAsia" w:hAnsiTheme="minorEastAsia"/>
          <w:color w:val="auto"/>
          <w:sz w:val="24"/>
          <w:szCs w:val="24"/>
          <w:highlight w:val="none"/>
          <w:lang w:val="en-US" w:eastAsia="zh-CN"/>
        </w:rPr>
        <w:t>二</w:t>
      </w:r>
      <w:r>
        <w:rPr>
          <w:rFonts w:cs="Times New Roman" w:asciiTheme="minorEastAsia" w:hAnsiTheme="minorEastAsia"/>
          <w:color w:val="auto"/>
          <w:sz w:val="24"/>
          <w:szCs w:val="24"/>
          <w:highlight w:val="none"/>
          <w:lang w:eastAsia="zh-CN"/>
        </w:rPr>
        <w:t>及以上的保质期时间。</w:t>
      </w:r>
    </w:p>
    <w:p w14:paraId="15D82103">
      <w:pPr>
        <w:pStyle w:val="8"/>
        <w:numPr>
          <w:ilvl w:val="0"/>
          <w:numId w:val="0"/>
        </w:numPr>
        <w:spacing w:line="440" w:lineRule="exact"/>
        <w:ind w:left="0" w:leftChars="0" w:firstLine="0" w:firstLineChars="0"/>
        <w:jc w:val="both"/>
        <w:rPr>
          <w:rFonts w:hint="eastAsia" w:cs="Times New Roman" w:asciiTheme="minorEastAsia" w:hAnsiTheme="minorEastAsia"/>
          <w:b/>
          <w:bCs/>
          <w:color w:val="auto"/>
          <w:sz w:val="24"/>
          <w:szCs w:val="24"/>
          <w:highlight w:val="none"/>
          <w:lang w:val="en-US" w:eastAsia="zh-CN"/>
        </w:rPr>
      </w:pPr>
      <w:r>
        <w:rPr>
          <w:rFonts w:hint="eastAsia" w:cs="Times New Roman" w:asciiTheme="minorEastAsia" w:hAnsiTheme="minorEastAsia" w:eastAsiaTheme="minorEastAsia"/>
          <w:b/>
          <w:bCs/>
          <w:color w:val="auto"/>
          <w:sz w:val="24"/>
          <w:szCs w:val="24"/>
          <w:highlight w:val="none"/>
          <w:lang w:val="en-US" w:eastAsia="zh-CN"/>
        </w:rPr>
        <w:t>（3）</w:t>
      </w:r>
      <w:r>
        <w:rPr>
          <w:rFonts w:hint="eastAsia" w:cs="Times New Roman" w:asciiTheme="minorEastAsia" w:hAnsiTheme="minorEastAsia"/>
          <w:b/>
          <w:bCs/>
          <w:color w:val="auto"/>
          <w:sz w:val="24"/>
          <w:szCs w:val="24"/>
          <w:highlight w:val="none"/>
          <w:lang w:val="en-US" w:eastAsia="zh-CN"/>
        </w:rPr>
        <w:t>酱类与复合调味类</w:t>
      </w:r>
    </w:p>
    <w:p w14:paraId="39B689EA">
      <w:pPr>
        <w:pStyle w:val="8"/>
        <w:spacing w:line="440" w:lineRule="exact"/>
        <w:jc w:val="both"/>
        <w:rPr>
          <w:rFonts w:hint="eastAsia" w:cs="Times New Roman" w:asciiTheme="minorEastAsia" w:hAnsiTheme="minorEastAsia"/>
          <w:color w:val="auto"/>
          <w:sz w:val="24"/>
          <w:szCs w:val="24"/>
          <w:highlight w:val="none"/>
          <w:lang w:val="en-US" w:eastAsia="zh-CN"/>
        </w:rPr>
      </w:pPr>
      <w:r>
        <w:rPr>
          <w:rFonts w:cs="Times New Roman" w:asciiTheme="minorEastAsia" w:hAnsiTheme="minorEastAsia"/>
          <w:color w:val="auto"/>
          <w:sz w:val="24"/>
          <w:szCs w:val="24"/>
          <w:highlight w:val="none"/>
          <w:lang w:eastAsia="zh-CN"/>
        </w:rPr>
        <w:t>为预包装食品，其中产品包装、标签、说明书清楚、明显，生产日期、保质期等事项显著标注，容易辨识，符合相关食品安全国家标准。供货时至少确保产品还有</w:t>
      </w:r>
      <w:r>
        <w:rPr>
          <w:rFonts w:hint="eastAsia" w:cs="Times New Roman" w:asciiTheme="minorEastAsia" w:hAnsiTheme="minorEastAsia"/>
          <w:color w:val="auto"/>
          <w:sz w:val="24"/>
          <w:szCs w:val="24"/>
          <w:highlight w:val="none"/>
          <w:lang w:val="en-US" w:eastAsia="zh-CN"/>
        </w:rPr>
        <w:t>三</w:t>
      </w:r>
      <w:r>
        <w:rPr>
          <w:rFonts w:cs="Times New Roman" w:asciiTheme="minorEastAsia" w:hAnsiTheme="minorEastAsia"/>
          <w:color w:val="auto"/>
          <w:sz w:val="24"/>
          <w:szCs w:val="24"/>
          <w:highlight w:val="none"/>
          <w:lang w:eastAsia="zh-CN"/>
        </w:rPr>
        <w:t>分</w:t>
      </w:r>
      <w:r>
        <w:rPr>
          <w:rFonts w:hint="eastAsia" w:cs="Times New Roman" w:asciiTheme="minorEastAsia" w:hAnsiTheme="minorEastAsia"/>
          <w:color w:val="auto"/>
          <w:sz w:val="24"/>
          <w:szCs w:val="24"/>
          <w:highlight w:val="none"/>
          <w:lang w:val="en-US" w:eastAsia="zh-CN"/>
        </w:rPr>
        <w:t>二</w:t>
      </w:r>
      <w:r>
        <w:rPr>
          <w:rFonts w:cs="Times New Roman" w:asciiTheme="minorEastAsia" w:hAnsiTheme="minorEastAsia"/>
          <w:color w:val="auto"/>
          <w:sz w:val="24"/>
          <w:szCs w:val="24"/>
          <w:highlight w:val="none"/>
          <w:lang w:eastAsia="zh-CN"/>
        </w:rPr>
        <w:t>及以上的保质期时间。</w:t>
      </w:r>
    </w:p>
    <w:p w14:paraId="4CA26FC5">
      <w:pPr>
        <w:pStyle w:val="8"/>
        <w:numPr>
          <w:ilvl w:val="0"/>
          <w:numId w:val="0"/>
        </w:numPr>
        <w:spacing w:line="440" w:lineRule="exact"/>
        <w:ind w:left="0" w:leftChars="0" w:firstLine="0" w:firstLineChars="0"/>
        <w:jc w:val="both"/>
        <w:rPr>
          <w:rFonts w:hint="eastAsia" w:cs="Times New Roman" w:asciiTheme="minorEastAsia" w:hAnsiTheme="minorEastAsia"/>
          <w:b/>
          <w:bCs/>
          <w:color w:val="auto"/>
          <w:sz w:val="24"/>
          <w:szCs w:val="24"/>
          <w:highlight w:val="none"/>
          <w:lang w:val="en-US" w:eastAsia="zh-CN"/>
        </w:rPr>
      </w:pPr>
      <w:r>
        <w:rPr>
          <w:rFonts w:hint="eastAsia" w:cs="Times New Roman" w:asciiTheme="minorEastAsia" w:hAnsiTheme="minorEastAsia" w:eastAsiaTheme="minorEastAsia"/>
          <w:b/>
          <w:bCs/>
          <w:color w:val="auto"/>
          <w:sz w:val="24"/>
          <w:szCs w:val="24"/>
          <w:highlight w:val="none"/>
          <w:lang w:val="en-US" w:eastAsia="zh-CN"/>
        </w:rPr>
        <w:t>（4）</w:t>
      </w:r>
      <w:r>
        <w:rPr>
          <w:rFonts w:hint="eastAsia" w:cs="Times New Roman" w:asciiTheme="minorEastAsia" w:hAnsiTheme="minorEastAsia"/>
          <w:b/>
          <w:bCs/>
          <w:color w:val="auto"/>
          <w:sz w:val="24"/>
          <w:szCs w:val="24"/>
          <w:highlight w:val="none"/>
          <w:lang w:val="en-US" w:eastAsia="zh-CN"/>
        </w:rPr>
        <w:t>淀粉与粉面制品类</w:t>
      </w:r>
    </w:p>
    <w:p w14:paraId="541D0750">
      <w:pPr>
        <w:pStyle w:val="8"/>
        <w:numPr>
          <w:ilvl w:val="0"/>
          <w:numId w:val="0"/>
        </w:numPr>
        <w:spacing w:line="440" w:lineRule="exact"/>
        <w:jc w:val="both"/>
        <w:rPr>
          <w:rFonts w:hint="default" w:cs="Times New Roman" w:asciiTheme="minorEastAsia" w:hAnsiTheme="minorEastAsia"/>
          <w:color w:val="auto"/>
          <w:sz w:val="24"/>
          <w:szCs w:val="24"/>
          <w:highlight w:val="none"/>
          <w:lang w:val="en-US" w:eastAsia="zh-CN"/>
        </w:rPr>
      </w:pPr>
      <w:r>
        <w:rPr>
          <w:rFonts w:cs="Times New Roman" w:asciiTheme="minorEastAsia" w:hAnsiTheme="minorEastAsia"/>
          <w:color w:val="auto"/>
          <w:sz w:val="24"/>
          <w:szCs w:val="24"/>
          <w:highlight w:val="none"/>
          <w:lang w:eastAsia="zh-CN"/>
        </w:rPr>
        <w:t>为预包装食品，其中产品包装、标签、说明书清楚、明显，生产日期、保质期等事项显著标注，容易辨识，符合相关食品安全国家标准。供货时至少确保产品还有</w:t>
      </w:r>
      <w:r>
        <w:rPr>
          <w:rFonts w:hint="eastAsia" w:cs="Times New Roman" w:asciiTheme="minorEastAsia" w:hAnsiTheme="minorEastAsia"/>
          <w:color w:val="auto"/>
          <w:sz w:val="24"/>
          <w:szCs w:val="24"/>
          <w:highlight w:val="none"/>
          <w:lang w:val="en-US" w:eastAsia="zh-CN"/>
        </w:rPr>
        <w:t>三</w:t>
      </w:r>
      <w:r>
        <w:rPr>
          <w:rFonts w:cs="Times New Roman" w:asciiTheme="minorEastAsia" w:hAnsiTheme="minorEastAsia"/>
          <w:color w:val="auto"/>
          <w:sz w:val="24"/>
          <w:szCs w:val="24"/>
          <w:highlight w:val="none"/>
          <w:lang w:eastAsia="zh-CN"/>
        </w:rPr>
        <w:t>分</w:t>
      </w:r>
      <w:r>
        <w:rPr>
          <w:rFonts w:hint="eastAsia" w:cs="Times New Roman" w:asciiTheme="minorEastAsia" w:hAnsiTheme="minorEastAsia"/>
          <w:color w:val="auto"/>
          <w:sz w:val="24"/>
          <w:szCs w:val="24"/>
          <w:highlight w:val="none"/>
          <w:lang w:val="en-US" w:eastAsia="zh-CN"/>
        </w:rPr>
        <w:t>二</w:t>
      </w:r>
      <w:r>
        <w:rPr>
          <w:rFonts w:cs="Times New Roman" w:asciiTheme="minorEastAsia" w:hAnsiTheme="minorEastAsia"/>
          <w:color w:val="auto"/>
          <w:sz w:val="24"/>
          <w:szCs w:val="24"/>
          <w:highlight w:val="none"/>
          <w:lang w:eastAsia="zh-CN"/>
        </w:rPr>
        <w:t>及以上的保质期时间。</w:t>
      </w:r>
    </w:p>
    <w:p w14:paraId="2A81570F">
      <w:pPr>
        <w:pStyle w:val="8"/>
        <w:numPr>
          <w:ilvl w:val="0"/>
          <w:numId w:val="0"/>
        </w:numPr>
        <w:spacing w:line="440" w:lineRule="exact"/>
        <w:ind w:left="0" w:leftChars="0" w:firstLine="0" w:firstLineChars="0"/>
        <w:jc w:val="both"/>
        <w:rPr>
          <w:rFonts w:hint="eastAsia" w:cs="Times New Roman" w:asciiTheme="minorEastAsia" w:hAnsiTheme="minorEastAsia"/>
          <w:b/>
          <w:bCs/>
          <w:color w:val="auto"/>
          <w:sz w:val="24"/>
          <w:szCs w:val="24"/>
          <w:highlight w:val="none"/>
          <w:lang w:val="en-US" w:eastAsia="zh-CN"/>
        </w:rPr>
      </w:pPr>
      <w:r>
        <w:rPr>
          <w:rFonts w:hint="eastAsia" w:cs="Times New Roman" w:asciiTheme="minorEastAsia" w:hAnsiTheme="minorEastAsia" w:eastAsiaTheme="minorEastAsia"/>
          <w:b/>
          <w:bCs/>
          <w:color w:val="auto"/>
          <w:sz w:val="24"/>
          <w:szCs w:val="24"/>
          <w:highlight w:val="none"/>
          <w:lang w:val="en-US" w:eastAsia="zh-CN"/>
        </w:rPr>
        <w:t>（5）</w:t>
      </w:r>
      <w:r>
        <w:rPr>
          <w:rFonts w:hint="eastAsia" w:cs="Times New Roman" w:asciiTheme="minorEastAsia" w:hAnsiTheme="minorEastAsia"/>
          <w:b/>
          <w:bCs/>
          <w:color w:val="auto"/>
          <w:sz w:val="24"/>
          <w:szCs w:val="24"/>
          <w:highlight w:val="none"/>
          <w:lang w:val="en-US" w:eastAsia="zh-CN"/>
        </w:rPr>
        <w:t>杂粮与谷物类</w:t>
      </w:r>
    </w:p>
    <w:p w14:paraId="6A902260">
      <w:pPr>
        <w:pStyle w:val="8"/>
        <w:numPr>
          <w:ilvl w:val="0"/>
          <w:numId w:val="0"/>
        </w:numPr>
        <w:spacing w:line="440" w:lineRule="exact"/>
        <w:jc w:val="both"/>
        <w:rPr>
          <w:rFonts w:hint="eastAsia" w:cs="Times New Roman" w:asciiTheme="minorEastAsia" w:hAnsiTheme="minorEastAsia"/>
          <w:color w:val="auto"/>
          <w:sz w:val="24"/>
          <w:szCs w:val="24"/>
          <w:highlight w:val="none"/>
          <w:lang w:val="en-US" w:eastAsia="zh-CN"/>
        </w:rPr>
      </w:pPr>
      <w:r>
        <w:rPr>
          <w:rFonts w:hint="eastAsia" w:ascii="宋体" w:hAnsi="宋体" w:eastAsia="宋体" w:cs="宋体"/>
          <w:color w:val="auto"/>
          <w:sz w:val="24"/>
          <w:highlight w:val="none"/>
        </w:rPr>
        <w:t>产品标签清楚、明显，生产日期、保质期等事项显著标注，容易辨识，合相关食品安全国家标准。当年新米，不能有陈米；色泽光亮，不发黄、发霉、虫蚀。面粉、杂粮、豆类外包装须完整，无破损，无不封口现象，有生产日期，且供货时至少确保产品还有</w:t>
      </w:r>
      <w:r>
        <w:rPr>
          <w:rFonts w:hint="eastAsia" w:ascii="宋体" w:hAnsi="宋体" w:eastAsia="宋体" w:cs="宋体"/>
          <w:color w:val="auto"/>
          <w:sz w:val="24"/>
          <w:highlight w:val="none"/>
          <w:lang w:eastAsia="zh-CN"/>
        </w:rPr>
        <w:t>三分二</w:t>
      </w:r>
      <w:r>
        <w:rPr>
          <w:rFonts w:hint="eastAsia" w:ascii="宋体" w:hAnsi="宋体" w:eastAsia="宋体" w:cs="宋体"/>
          <w:color w:val="auto"/>
          <w:sz w:val="24"/>
          <w:highlight w:val="none"/>
        </w:rPr>
        <w:t>及以上的保质期时间。</w:t>
      </w:r>
    </w:p>
    <w:p w14:paraId="37160583">
      <w:pPr>
        <w:pStyle w:val="8"/>
        <w:numPr>
          <w:ilvl w:val="0"/>
          <w:numId w:val="0"/>
        </w:numPr>
        <w:spacing w:line="440" w:lineRule="exact"/>
        <w:ind w:left="0" w:leftChars="0" w:firstLine="0" w:firstLineChars="0"/>
        <w:jc w:val="both"/>
        <w:rPr>
          <w:rFonts w:hint="eastAsia" w:cs="Times New Roman" w:asciiTheme="minorEastAsia" w:hAnsiTheme="minorEastAsia"/>
          <w:b/>
          <w:bCs/>
          <w:color w:val="auto"/>
          <w:sz w:val="24"/>
          <w:szCs w:val="24"/>
          <w:highlight w:val="none"/>
          <w:lang w:val="en-US" w:eastAsia="zh-CN"/>
        </w:rPr>
      </w:pPr>
      <w:r>
        <w:rPr>
          <w:rFonts w:hint="eastAsia" w:cs="Times New Roman" w:asciiTheme="minorEastAsia" w:hAnsiTheme="minorEastAsia" w:eastAsiaTheme="minorEastAsia"/>
          <w:b/>
          <w:bCs/>
          <w:color w:val="auto"/>
          <w:sz w:val="24"/>
          <w:szCs w:val="24"/>
          <w:highlight w:val="none"/>
          <w:lang w:val="en-US" w:eastAsia="zh-CN"/>
        </w:rPr>
        <w:t>（6）</w:t>
      </w:r>
      <w:r>
        <w:rPr>
          <w:rFonts w:hint="eastAsia" w:cs="Times New Roman" w:asciiTheme="minorEastAsia" w:hAnsiTheme="minorEastAsia"/>
          <w:b/>
          <w:bCs/>
          <w:color w:val="auto"/>
          <w:sz w:val="24"/>
          <w:szCs w:val="24"/>
          <w:highlight w:val="none"/>
          <w:lang w:val="en-US" w:eastAsia="zh-CN"/>
        </w:rPr>
        <w:t>菌菇与海产干货类</w:t>
      </w:r>
    </w:p>
    <w:p w14:paraId="2B4B7F26">
      <w:pPr>
        <w:pStyle w:val="8"/>
        <w:numPr>
          <w:ilvl w:val="0"/>
          <w:numId w:val="0"/>
        </w:numPr>
        <w:spacing w:line="440" w:lineRule="exact"/>
        <w:jc w:val="both"/>
        <w:rPr>
          <w:rFonts w:hint="default" w:cs="Times New Roman" w:asciiTheme="minorEastAsia" w:hAnsiTheme="minorEastAsia"/>
          <w:color w:val="auto"/>
          <w:sz w:val="24"/>
          <w:szCs w:val="24"/>
          <w:highlight w:val="none"/>
          <w:lang w:val="en-US" w:eastAsia="zh-CN"/>
        </w:rPr>
      </w:pPr>
      <w:r>
        <w:rPr>
          <w:rFonts w:hint="eastAsia" w:ascii="宋体" w:hAnsi="宋体" w:eastAsia="宋体" w:cs="宋体"/>
          <w:color w:val="auto"/>
          <w:sz w:val="24"/>
          <w:highlight w:val="none"/>
        </w:rPr>
        <w:t>产品标签清楚、明显，生产日期、保质期等事项显著标注，容易辨识，合相关食品安全国家标准。要求各类干货外包装须完整，无破损，无不封口现象，有生产日期，且供货时至少确保产品还有</w:t>
      </w:r>
      <w:r>
        <w:rPr>
          <w:rFonts w:hint="eastAsia" w:ascii="宋体" w:hAnsi="宋体" w:eastAsia="宋体" w:cs="宋体"/>
          <w:color w:val="auto"/>
          <w:sz w:val="24"/>
          <w:highlight w:val="none"/>
          <w:lang w:eastAsia="zh-CN"/>
        </w:rPr>
        <w:t>三分二</w:t>
      </w:r>
      <w:r>
        <w:rPr>
          <w:rFonts w:hint="eastAsia" w:ascii="宋体" w:hAnsi="宋体" w:eastAsia="宋体" w:cs="宋体"/>
          <w:color w:val="auto"/>
          <w:sz w:val="24"/>
          <w:highlight w:val="none"/>
        </w:rPr>
        <w:t>及以上的保质期时间。</w:t>
      </w:r>
    </w:p>
    <w:p w14:paraId="62DC57F5">
      <w:pPr>
        <w:pStyle w:val="8"/>
        <w:numPr>
          <w:ilvl w:val="0"/>
          <w:numId w:val="0"/>
        </w:numPr>
        <w:spacing w:line="440" w:lineRule="exact"/>
        <w:ind w:left="0" w:leftChars="0" w:firstLine="0" w:firstLineChars="0"/>
        <w:jc w:val="both"/>
        <w:rPr>
          <w:rFonts w:hint="eastAsia" w:cs="Times New Roman" w:asciiTheme="minorEastAsia" w:hAnsiTheme="minorEastAsia"/>
          <w:b/>
          <w:bCs/>
          <w:color w:val="auto"/>
          <w:sz w:val="24"/>
          <w:szCs w:val="24"/>
          <w:highlight w:val="none"/>
          <w:lang w:val="en-US" w:eastAsia="zh-CN"/>
        </w:rPr>
      </w:pPr>
      <w:r>
        <w:rPr>
          <w:rFonts w:hint="eastAsia" w:cs="Times New Roman" w:asciiTheme="minorEastAsia" w:hAnsiTheme="minorEastAsia" w:eastAsiaTheme="minorEastAsia"/>
          <w:b/>
          <w:bCs/>
          <w:color w:val="auto"/>
          <w:sz w:val="24"/>
          <w:szCs w:val="24"/>
          <w:highlight w:val="none"/>
          <w:lang w:val="en-US" w:eastAsia="zh-CN"/>
        </w:rPr>
        <w:t>（7）</w:t>
      </w:r>
      <w:r>
        <w:rPr>
          <w:rFonts w:hint="eastAsia" w:cs="Times New Roman" w:asciiTheme="minorEastAsia" w:hAnsiTheme="minorEastAsia"/>
          <w:b/>
          <w:bCs/>
          <w:color w:val="auto"/>
          <w:sz w:val="24"/>
          <w:szCs w:val="24"/>
          <w:highlight w:val="none"/>
          <w:lang w:val="en-US" w:eastAsia="zh-CN"/>
        </w:rPr>
        <w:t>乳品与冲调类</w:t>
      </w:r>
    </w:p>
    <w:p w14:paraId="5534469F">
      <w:pPr>
        <w:pStyle w:val="8"/>
        <w:keepNext w:val="0"/>
        <w:keepLines w:val="0"/>
        <w:pageBreakBefore w:val="0"/>
        <w:numPr>
          <w:ilvl w:val="0"/>
          <w:numId w:val="0"/>
        </w:numPr>
        <w:kinsoku/>
        <w:wordWrap/>
        <w:overflowPunct/>
        <w:topLinePunct w:val="0"/>
        <w:autoSpaceDE/>
        <w:autoSpaceDN/>
        <w:bidi w:val="0"/>
        <w:adjustRightInd/>
        <w:snapToGrid/>
        <w:spacing w:line="360" w:lineRule="auto"/>
        <w:jc w:val="both"/>
        <w:textAlignment w:val="auto"/>
        <w:rPr>
          <w:rFonts w:hint="default" w:cs="Times New Roman" w:asciiTheme="minorEastAsia" w:hAnsiTheme="minorEastAsia"/>
          <w:color w:val="auto"/>
          <w:sz w:val="24"/>
          <w:szCs w:val="24"/>
          <w:highlight w:val="none"/>
          <w:lang w:val="en-US" w:eastAsia="zh-CN"/>
        </w:rPr>
      </w:pPr>
      <w:r>
        <w:rPr>
          <w:rFonts w:cs="Times New Roman" w:asciiTheme="minorEastAsia" w:hAnsiTheme="minorEastAsia"/>
          <w:color w:val="auto"/>
          <w:sz w:val="24"/>
          <w:szCs w:val="24"/>
          <w:highlight w:val="none"/>
          <w:lang w:eastAsia="zh-CN"/>
        </w:rPr>
        <w:t>为预包装食品，其中产品包装、标签、说明书清楚、明显，生产日期、保质期等事项显著标注，容易辨识，各奶制品、饮料外包装须完整，无破损，无不封口现象，产品包装、质量符合国家食品安全标准，且供货时至少确保产品还有</w:t>
      </w:r>
      <w:r>
        <w:rPr>
          <w:rFonts w:hint="eastAsia" w:cs="Times New Roman" w:asciiTheme="minorEastAsia" w:hAnsiTheme="minorEastAsia"/>
          <w:color w:val="auto"/>
          <w:sz w:val="24"/>
          <w:szCs w:val="24"/>
          <w:highlight w:val="none"/>
          <w:lang w:eastAsia="zh-CN"/>
        </w:rPr>
        <w:t>三分二</w:t>
      </w:r>
      <w:r>
        <w:rPr>
          <w:rFonts w:cs="Times New Roman" w:asciiTheme="minorEastAsia" w:hAnsiTheme="minorEastAsia"/>
          <w:color w:val="auto"/>
          <w:sz w:val="24"/>
          <w:szCs w:val="24"/>
          <w:highlight w:val="none"/>
          <w:lang w:eastAsia="zh-CN"/>
        </w:rPr>
        <w:t>及以上的保质期时间。</w:t>
      </w:r>
    </w:p>
    <w:p w14:paraId="1FA1DF32">
      <w:pPr>
        <w:pStyle w:val="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cs="Times New Roman" w:asciiTheme="minorEastAsia" w:hAnsiTheme="minorEastAsia"/>
          <w:b/>
          <w:bCs/>
          <w:color w:val="auto"/>
          <w:sz w:val="24"/>
          <w:szCs w:val="24"/>
          <w:highlight w:val="none"/>
          <w:lang w:val="en-US" w:eastAsia="zh-CN"/>
        </w:rPr>
      </w:pPr>
      <w:r>
        <w:rPr>
          <w:rFonts w:hint="eastAsia" w:cs="Times New Roman" w:asciiTheme="minorEastAsia" w:hAnsiTheme="minorEastAsia" w:eastAsiaTheme="minorEastAsia"/>
          <w:b/>
          <w:bCs/>
          <w:color w:val="auto"/>
          <w:sz w:val="24"/>
          <w:szCs w:val="24"/>
          <w:highlight w:val="none"/>
          <w:lang w:val="en-US" w:eastAsia="zh-CN"/>
        </w:rPr>
        <w:t>（8）</w:t>
      </w:r>
      <w:r>
        <w:rPr>
          <w:rFonts w:hint="eastAsia" w:cs="Times New Roman" w:asciiTheme="minorEastAsia" w:hAnsiTheme="minorEastAsia"/>
          <w:b/>
          <w:bCs/>
          <w:color w:val="auto"/>
          <w:sz w:val="24"/>
          <w:szCs w:val="24"/>
          <w:highlight w:val="none"/>
          <w:lang w:val="en-US" w:eastAsia="zh-CN"/>
        </w:rPr>
        <w:t>冷冻禽肉水产类</w:t>
      </w:r>
    </w:p>
    <w:p w14:paraId="655F369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cs="Times New Roman" w:asciiTheme="minorEastAsia" w:hAnsiTheme="minorEastAsia"/>
          <w:color w:val="auto"/>
          <w:sz w:val="24"/>
          <w:szCs w:val="24"/>
          <w:highlight w:val="none"/>
          <w:lang w:eastAsia="zh-CN"/>
        </w:rPr>
        <w:t>为预包装食品，其中产品包装、标签、说明书清楚、明显，生产日期、保质期等事项显著标注，容易辨识，符合相关国家食品安全标准，不使用进口及国内中高风险地区冷链食品。所提供的冻品应为无变质、无异味、无腐败、无杂质，非病死禽、畜制品，且供货时至少确保产品还有</w:t>
      </w:r>
      <w:r>
        <w:rPr>
          <w:rFonts w:hint="eastAsia" w:cs="Times New Roman" w:asciiTheme="minorEastAsia" w:hAnsiTheme="minorEastAsia"/>
          <w:color w:val="auto"/>
          <w:sz w:val="24"/>
          <w:szCs w:val="24"/>
          <w:highlight w:val="none"/>
          <w:lang w:eastAsia="zh-CN"/>
        </w:rPr>
        <w:t>三分二</w:t>
      </w:r>
      <w:r>
        <w:rPr>
          <w:rFonts w:cs="Times New Roman" w:asciiTheme="minorEastAsia" w:hAnsiTheme="minorEastAsia"/>
          <w:color w:val="auto"/>
          <w:sz w:val="24"/>
          <w:szCs w:val="24"/>
          <w:highlight w:val="none"/>
          <w:lang w:eastAsia="zh-CN"/>
        </w:rPr>
        <w:t>及以上的保质期时间</w:t>
      </w:r>
      <w:r>
        <w:rPr>
          <w:rFonts w:hint="eastAsia" w:cs="Times New Roman" w:asciiTheme="minorEastAsia" w:hAnsiTheme="minorEastAsia"/>
          <w:color w:val="auto"/>
          <w:sz w:val="24"/>
          <w:szCs w:val="24"/>
          <w:highlight w:val="none"/>
          <w:lang w:eastAsia="zh-CN"/>
        </w:rPr>
        <w:t>，</w:t>
      </w:r>
      <w:r>
        <w:rPr>
          <w:rFonts w:cs="Times New Roman" w:asciiTheme="minorEastAsia" w:hAnsiTheme="minorEastAsia"/>
          <w:color w:val="auto"/>
          <w:sz w:val="24"/>
          <w:szCs w:val="24"/>
          <w:highlight w:val="none"/>
          <w:lang w:eastAsia="zh-CN"/>
        </w:rPr>
        <w:t>应具备满足交易需要的冷冻贮藏设施且应使用冷链车辆进行配送</w:t>
      </w:r>
      <w:r>
        <w:rPr>
          <w:rFonts w:hint="eastAsia" w:cs="Times New Roman" w:asciiTheme="minorEastAsia" w:hAnsiTheme="minorEastAsia"/>
          <w:color w:val="auto"/>
          <w:sz w:val="24"/>
          <w:szCs w:val="24"/>
          <w:highlight w:val="none"/>
          <w:lang w:eastAsia="zh-CN"/>
        </w:rPr>
        <w:t>。</w:t>
      </w:r>
    </w:p>
    <w:p w14:paraId="62756DD0">
      <w:pPr>
        <w:pStyle w:val="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cs="Times New Roman" w:asciiTheme="minorEastAsia" w:hAnsiTheme="minorEastAsia"/>
          <w:b/>
          <w:bCs/>
          <w:color w:val="auto"/>
          <w:sz w:val="24"/>
          <w:szCs w:val="24"/>
          <w:highlight w:val="none"/>
          <w:lang w:val="en-US" w:eastAsia="zh-CN"/>
        </w:rPr>
      </w:pPr>
      <w:r>
        <w:rPr>
          <w:rFonts w:hint="default" w:cs="Times New Roman" w:asciiTheme="minorEastAsia" w:hAnsiTheme="minorEastAsia" w:eastAsiaTheme="minorEastAsia"/>
          <w:b/>
          <w:bCs/>
          <w:color w:val="auto"/>
          <w:sz w:val="24"/>
          <w:szCs w:val="24"/>
          <w:highlight w:val="none"/>
          <w:lang w:val="en-US" w:eastAsia="zh-CN"/>
        </w:rPr>
        <w:t>（9）</w:t>
      </w:r>
      <w:r>
        <w:rPr>
          <w:rFonts w:hint="eastAsia" w:cs="Times New Roman" w:asciiTheme="minorEastAsia" w:hAnsiTheme="minorEastAsia"/>
          <w:b/>
          <w:bCs/>
          <w:color w:val="auto"/>
          <w:sz w:val="24"/>
          <w:szCs w:val="24"/>
          <w:highlight w:val="none"/>
          <w:lang w:val="en-US" w:eastAsia="zh-CN"/>
        </w:rPr>
        <w:t>糖品类</w:t>
      </w:r>
    </w:p>
    <w:p w14:paraId="0372A880">
      <w:pPr>
        <w:pStyle w:val="8"/>
        <w:numPr>
          <w:ilvl w:val="0"/>
          <w:numId w:val="0"/>
        </w:numPr>
        <w:spacing w:line="440" w:lineRule="exact"/>
        <w:ind w:leftChars="0"/>
        <w:jc w:val="both"/>
        <w:rPr>
          <w:rFonts w:cs="Times New Roman" w:asciiTheme="minorEastAsia" w:hAnsiTheme="minorEastAsia"/>
          <w:color w:val="auto"/>
          <w:sz w:val="24"/>
          <w:szCs w:val="24"/>
          <w:highlight w:val="none"/>
          <w:lang w:eastAsia="zh-CN"/>
        </w:rPr>
      </w:pPr>
      <w:r>
        <w:rPr>
          <w:rFonts w:cs="Times New Roman" w:asciiTheme="minorEastAsia" w:hAnsiTheme="minorEastAsia"/>
          <w:color w:val="auto"/>
          <w:sz w:val="24"/>
          <w:szCs w:val="24"/>
          <w:highlight w:val="none"/>
          <w:lang w:eastAsia="zh-CN"/>
        </w:rPr>
        <w:t>为预包装食品，其中产品包装、标签、说明书清楚、明显，生产日期、保质期等事项显著标注，容易辨识，符合相关食品安全</w:t>
      </w:r>
      <w:r>
        <w:rPr>
          <w:rFonts w:hint="eastAsia" w:cs="Times New Roman" w:asciiTheme="minorEastAsia" w:hAnsiTheme="minorEastAsia"/>
          <w:color w:val="auto"/>
          <w:sz w:val="24"/>
          <w:szCs w:val="24"/>
          <w:highlight w:val="none"/>
          <w:lang w:val="en-US" w:eastAsia="zh-CN"/>
        </w:rPr>
        <w:t>卫生</w:t>
      </w:r>
      <w:r>
        <w:rPr>
          <w:rFonts w:cs="Times New Roman" w:asciiTheme="minorEastAsia" w:hAnsiTheme="minorEastAsia"/>
          <w:color w:val="auto"/>
          <w:sz w:val="24"/>
          <w:szCs w:val="24"/>
          <w:highlight w:val="none"/>
          <w:lang w:eastAsia="zh-CN"/>
        </w:rPr>
        <w:t>标准。供货时至少确保产品还有</w:t>
      </w:r>
      <w:r>
        <w:rPr>
          <w:rFonts w:hint="eastAsia" w:cs="Times New Roman" w:asciiTheme="minorEastAsia" w:hAnsiTheme="minorEastAsia"/>
          <w:color w:val="auto"/>
          <w:sz w:val="24"/>
          <w:szCs w:val="24"/>
          <w:highlight w:val="none"/>
          <w:lang w:eastAsia="zh-CN"/>
        </w:rPr>
        <w:t>三分二</w:t>
      </w:r>
      <w:r>
        <w:rPr>
          <w:rFonts w:cs="Times New Roman" w:asciiTheme="minorEastAsia" w:hAnsiTheme="minorEastAsia"/>
          <w:color w:val="auto"/>
          <w:sz w:val="24"/>
          <w:szCs w:val="24"/>
          <w:highlight w:val="none"/>
          <w:lang w:eastAsia="zh-CN"/>
        </w:rPr>
        <w:t>及以上的保质期时间。</w:t>
      </w:r>
    </w:p>
    <w:p w14:paraId="4C5D9E44">
      <w:pPr>
        <w:pStyle w:val="8"/>
        <w:numPr>
          <w:ilvl w:val="0"/>
          <w:numId w:val="0"/>
        </w:numPr>
        <w:spacing w:line="440" w:lineRule="exact"/>
        <w:ind w:left="0" w:leftChars="0" w:firstLine="0" w:firstLineChars="0"/>
        <w:jc w:val="both"/>
        <w:rPr>
          <w:rFonts w:hint="eastAsia" w:cs="Times New Roman" w:asciiTheme="minorEastAsia" w:hAnsiTheme="minorEastAsia"/>
          <w:b/>
          <w:bCs/>
          <w:color w:val="auto"/>
          <w:sz w:val="24"/>
          <w:szCs w:val="24"/>
          <w:highlight w:val="none"/>
          <w:lang w:val="en-US" w:eastAsia="zh-CN"/>
        </w:rPr>
      </w:pPr>
      <w:r>
        <w:rPr>
          <w:rFonts w:hint="eastAsia" w:cs="Times New Roman" w:asciiTheme="minorEastAsia" w:hAnsiTheme="minorEastAsia" w:eastAsiaTheme="minorEastAsia"/>
          <w:b/>
          <w:bCs/>
          <w:color w:val="auto"/>
          <w:sz w:val="24"/>
          <w:szCs w:val="24"/>
          <w:highlight w:val="none"/>
          <w:lang w:val="en-US" w:eastAsia="zh-CN"/>
        </w:rPr>
        <w:t>（10）</w:t>
      </w:r>
      <w:r>
        <w:rPr>
          <w:rFonts w:hint="eastAsia" w:cs="Times New Roman" w:asciiTheme="minorEastAsia" w:hAnsiTheme="minorEastAsia"/>
          <w:b/>
          <w:bCs/>
          <w:color w:val="auto"/>
          <w:sz w:val="24"/>
          <w:szCs w:val="24"/>
          <w:highlight w:val="none"/>
          <w:lang w:val="en-US" w:eastAsia="zh-CN"/>
        </w:rPr>
        <w:t>坚果类</w:t>
      </w:r>
    </w:p>
    <w:p w14:paraId="6E644385">
      <w:pPr>
        <w:pStyle w:val="8"/>
        <w:numPr>
          <w:ilvl w:val="0"/>
          <w:numId w:val="0"/>
        </w:numPr>
        <w:spacing w:line="440" w:lineRule="exact"/>
        <w:jc w:val="both"/>
        <w:rPr>
          <w:rFonts w:hint="default" w:cs="Times New Roman" w:asciiTheme="minorEastAsia" w:hAnsiTheme="minorEastAsia"/>
          <w:color w:val="auto"/>
          <w:sz w:val="24"/>
          <w:szCs w:val="24"/>
          <w:highlight w:val="none"/>
          <w:lang w:val="en-US" w:eastAsia="zh-CN"/>
        </w:rPr>
      </w:pPr>
      <w:r>
        <w:rPr>
          <w:rFonts w:cs="Times New Roman" w:asciiTheme="minorEastAsia" w:hAnsiTheme="minorEastAsia"/>
          <w:color w:val="auto"/>
          <w:sz w:val="24"/>
          <w:szCs w:val="24"/>
          <w:highlight w:val="none"/>
          <w:lang w:eastAsia="zh-CN"/>
        </w:rPr>
        <w:t>预包装食品，其中产品包装、标签、说明书清楚、明显，生产日期、保质期等事项显著标注，容易辨识，外包装须完整</w:t>
      </w:r>
      <w:r>
        <w:rPr>
          <w:rFonts w:hint="eastAsia" w:cs="Times New Roman" w:asciiTheme="minorEastAsia" w:hAnsiTheme="minorEastAsia"/>
          <w:color w:val="auto"/>
          <w:sz w:val="24"/>
          <w:szCs w:val="24"/>
          <w:highlight w:val="none"/>
          <w:lang w:eastAsia="zh-CN"/>
        </w:rPr>
        <w:t>。</w:t>
      </w:r>
      <w:r>
        <w:rPr>
          <w:rFonts w:ascii="宋体" w:hAnsi="宋体" w:eastAsia="宋体" w:cs="宋体"/>
          <w:color w:val="auto"/>
          <w:sz w:val="24"/>
          <w:szCs w:val="24"/>
          <w:highlight w:val="none"/>
        </w:rPr>
        <w:t>果仁完整，天然本色均匀，无肉眼可见霉斑、白毛、黑点、黑斑；无泥沙、果壳碎屑、无虫卵、活虫、虫粪、虫咬孔洞。</w:t>
      </w:r>
      <w:r>
        <w:rPr>
          <w:rFonts w:cs="Times New Roman" w:asciiTheme="minorEastAsia" w:hAnsiTheme="minorEastAsia"/>
          <w:color w:val="auto"/>
          <w:sz w:val="24"/>
          <w:szCs w:val="24"/>
          <w:highlight w:val="none"/>
          <w:lang w:eastAsia="zh-CN"/>
        </w:rPr>
        <w:t>产品包装、质量符合国家食品安全</w:t>
      </w:r>
      <w:r>
        <w:rPr>
          <w:rFonts w:hint="eastAsia" w:cs="Times New Roman" w:asciiTheme="minorEastAsia" w:hAnsiTheme="minorEastAsia"/>
          <w:color w:val="auto"/>
          <w:sz w:val="24"/>
          <w:szCs w:val="24"/>
          <w:highlight w:val="none"/>
          <w:lang w:eastAsia="zh-CN"/>
        </w:rPr>
        <w:t>，</w:t>
      </w:r>
      <w:r>
        <w:rPr>
          <w:rFonts w:hint="eastAsia" w:cs="Times New Roman" w:asciiTheme="minorEastAsia" w:hAnsiTheme="minorEastAsia"/>
          <w:color w:val="auto"/>
          <w:sz w:val="24"/>
          <w:szCs w:val="24"/>
          <w:highlight w:val="none"/>
          <w:lang w:val="en-US" w:eastAsia="zh-CN"/>
        </w:rPr>
        <w:t>卫生</w:t>
      </w:r>
      <w:r>
        <w:rPr>
          <w:rFonts w:cs="Times New Roman" w:asciiTheme="minorEastAsia" w:hAnsiTheme="minorEastAsia"/>
          <w:color w:val="auto"/>
          <w:sz w:val="24"/>
          <w:szCs w:val="24"/>
          <w:highlight w:val="none"/>
          <w:lang w:eastAsia="zh-CN"/>
        </w:rPr>
        <w:t>标准，且供货时至少确保产品还有</w:t>
      </w:r>
      <w:r>
        <w:rPr>
          <w:rFonts w:hint="eastAsia" w:cs="Times New Roman" w:asciiTheme="minorEastAsia" w:hAnsiTheme="minorEastAsia"/>
          <w:color w:val="auto"/>
          <w:sz w:val="24"/>
          <w:szCs w:val="24"/>
          <w:highlight w:val="none"/>
          <w:lang w:eastAsia="zh-CN"/>
        </w:rPr>
        <w:t>三分二</w:t>
      </w:r>
      <w:r>
        <w:rPr>
          <w:rFonts w:cs="Times New Roman" w:asciiTheme="minorEastAsia" w:hAnsiTheme="minorEastAsia"/>
          <w:color w:val="auto"/>
          <w:sz w:val="24"/>
          <w:szCs w:val="24"/>
          <w:highlight w:val="none"/>
          <w:lang w:eastAsia="zh-CN"/>
        </w:rPr>
        <w:t>及以上的保质期时间。</w:t>
      </w:r>
    </w:p>
    <w:p w14:paraId="68E9C699">
      <w:pPr>
        <w:pStyle w:val="8"/>
        <w:numPr>
          <w:ilvl w:val="0"/>
          <w:numId w:val="0"/>
        </w:numPr>
        <w:spacing w:line="440" w:lineRule="exact"/>
        <w:ind w:leftChars="0"/>
        <w:jc w:val="both"/>
        <w:rPr>
          <w:rFonts w:hint="eastAsia" w:cs="Times New Roman" w:asciiTheme="minorEastAsia" w:hAnsiTheme="minorEastAsia"/>
          <w:b/>
          <w:bCs/>
          <w:color w:val="auto"/>
          <w:sz w:val="24"/>
          <w:szCs w:val="24"/>
          <w:highlight w:val="none"/>
          <w:lang w:val="en-US" w:eastAsia="zh-CN"/>
        </w:rPr>
      </w:pPr>
    </w:p>
    <w:p w14:paraId="51A1AA4D">
      <w:pPr>
        <w:pStyle w:val="8"/>
        <w:numPr>
          <w:ilvl w:val="0"/>
          <w:numId w:val="0"/>
        </w:numPr>
        <w:spacing w:line="440" w:lineRule="exact"/>
        <w:ind w:leftChars="0"/>
        <w:jc w:val="both"/>
        <w:rPr>
          <w:rFonts w:hint="default" w:cs="Times New Roman" w:asciiTheme="minorEastAsia" w:hAnsiTheme="minorEastAsia"/>
          <w:b/>
          <w:bCs/>
          <w:color w:val="auto"/>
          <w:sz w:val="24"/>
          <w:szCs w:val="24"/>
          <w:highlight w:val="none"/>
          <w:lang w:val="en-US" w:eastAsia="zh-CN"/>
        </w:rPr>
      </w:pPr>
      <w:r>
        <w:rPr>
          <w:rFonts w:hint="eastAsia" w:cs="Times New Roman" w:asciiTheme="minorEastAsia" w:hAnsiTheme="minorEastAsia"/>
          <w:b/>
          <w:bCs/>
          <w:color w:val="auto"/>
          <w:sz w:val="24"/>
          <w:szCs w:val="24"/>
          <w:highlight w:val="none"/>
          <w:lang w:val="en-US" w:eastAsia="zh-CN"/>
        </w:rPr>
        <w:t>（11）烘培类</w:t>
      </w:r>
    </w:p>
    <w:p w14:paraId="3AFBCABB">
      <w:pPr>
        <w:pStyle w:val="8"/>
        <w:numPr>
          <w:ilvl w:val="0"/>
          <w:numId w:val="0"/>
        </w:numPr>
        <w:spacing w:line="440" w:lineRule="exact"/>
        <w:ind w:leftChars="0"/>
        <w:jc w:val="both"/>
        <w:rPr>
          <w:rFonts w:cs="Times New Roman" w:asciiTheme="minorEastAsia" w:hAnsiTheme="minorEastAsia"/>
          <w:color w:val="auto"/>
          <w:sz w:val="24"/>
          <w:szCs w:val="24"/>
          <w:highlight w:val="none"/>
          <w:lang w:eastAsia="zh-CN"/>
        </w:rPr>
      </w:pPr>
      <w:r>
        <w:rPr>
          <w:rFonts w:cs="Times New Roman" w:asciiTheme="minorEastAsia" w:hAnsiTheme="minorEastAsia"/>
          <w:color w:val="auto"/>
          <w:sz w:val="24"/>
          <w:szCs w:val="24"/>
          <w:highlight w:val="none"/>
          <w:lang w:eastAsia="zh-CN"/>
        </w:rPr>
        <w:t>预包装食品，其中产品包装、标签、说明书清楚、明显，生产日期、保质期等事项显著标注，容易辨识，外包装须完整</w:t>
      </w:r>
      <w:r>
        <w:rPr>
          <w:rFonts w:hint="eastAsia" w:cs="Times New Roman" w:asciiTheme="minorEastAsia" w:hAnsiTheme="minorEastAsia"/>
          <w:color w:val="auto"/>
          <w:sz w:val="24"/>
          <w:szCs w:val="24"/>
          <w:highlight w:val="none"/>
          <w:lang w:eastAsia="zh-CN"/>
        </w:rPr>
        <w:t>。</w:t>
      </w:r>
      <w:r>
        <w:rPr>
          <w:rFonts w:hint="eastAsia" w:cs="Times New Roman" w:asciiTheme="minorEastAsia" w:hAnsiTheme="minorEastAsia"/>
          <w:color w:val="auto"/>
          <w:sz w:val="24"/>
          <w:szCs w:val="24"/>
          <w:highlight w:val="none"/>
          <w:lang w:val="en-US" w:eastAsia="zh-CN"/>
        </w:rPr>
        <w:t>无</w:t>
      </w:r>
      <w:r>
        <w:rPr>
          <w:rFonts w:ascii="宋体" w:hAnsi="宋体" w:eastAsia="宋体" w:cs="宋体"/>
          <w:color w:val="auto"/>
          <w:sz w:val="24"/>
          <w:szCs w:val="24"/>
          <w:highlight w:val="none"/>
        </w:rPr>
        <w:t>霉变、结块、变色、油污渗漏、分层油水分离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产品包装，质量</w:t>
      </w:r>
      <w:r>
        <w:rPr>
          <w:rFonts w:cs="Times New Roman" w:asciiTheme="minorEastAsia" w:hAnsiTheme="minorEastAsia"/>
          <w:color w:val="auto"/>
          <w:sz w:val="24"/>
          <w:szCs w:val="24"/>
          <w:highlight w:val="none"/>
          <w:lang w:eastAsia="zh-CN"/>
        </w:rPr>
        <w:t>符合</w:t>
      </w:r>
      <w:r>
        <w:rPr>
          <w:rFonts w:hint="eastAsia" w:cs="Times New Roman" w:asciiTheme="minorEastAsia" w:hAnsiTheme="minorEastAsia"/>
          <w:color w:val="auto"/>
          <w:sz w:val="24"/>
          <w:szCs w:val="24"/>
          <w:highlight w:val="none"/>
          <w:lang w:val="en-US" w:eastAsia="zh-CN"/>
        </w:rPr>
        <w:t>国家</w:t>
      </w:r>
      <w:r>
        <w:rPr>
          <w:rFonts w:cs="Times New Roman" w:asciiTheme="minorEastAsia" w:hAnsiTheme="minorEastAsia"/>
          <w:color w:val="auto"/>
          <w:sz w:val="24"/>
          <w:szCs w:val="24"/>
          <w:highlight w:val="none"/>
          <w:lang w:eastAsia="zh-CN"/>
        </w:rPr>
        <w:t>食品安全</w:t>
      </w:r>
      <w:r>
        <w:rPr>
          <w:rFonts w:hint="eastAsia" w:cs="Times New Roman" w:asciiTheme="minorEastAsia" w:hAnsiTheme="minorEastAsia"/>
          <w:color w:val="auto"/>
          <w:sz w:val="24"/>
          <w:szCs w:val="24"/>
          <w:highlight w:val="none"/>
          <w:lang w:val="en-US" w:eastAsia="zh-CN"/>
        </w:rPr>
        <w:t>卫生</w:t>
      </w:r>
      <w:r>
        <w:rPr>
          <w:rFonts w:cs="Times New Roman" w:asciiTheme="minorEastAsia" w:hAnsiTheme="minorEastAsia"/>
          <w:color w:val="auto"/>
          <w:sz w:val="24"/>
          <w:szCs w:val="24"/>
          <w:highlight w:val="none"/>
          <w:lang w:eastAsia="zh-CN"/>
        </w:rPr>
        <w:t>标准。供货时至少确保产品还有</w:t>
      </w:r>
      <w:r>
        <w:rPr>
          <w:rFonts w:hint="eastAsia" w:cs="Times New Roman" w:asciiTheme="minorEastAsia" w:hAnsiTheme="minorEastAsia"/>
          <w:color w:val="auto"/>
          <w:sz w:val="24"/>
          <w:szCs w:val="24"/>
          <w:highlight w:val="none"/>
          <w:lang w:eastAsia="zh-CN"/>
        </w:rPr>
        <w:t>三分二</w:t>
      </w:r>
      <w:r>
        <w:rPr>
          <w:rFonts w:cs="Times New Roman" w:asciiTheme="minorEastAsia" w:hAnsiTheme="minorEastAsia"/>
          <w:color w:val="auto"/>
          <w:sz w:val="24"/>
          <w:szCs w:val="24"/>
          <w:highlight w:val="none"/>
          <w:lang w:eastAsia="zh-CN"/>
        </w:rPr>
        <w:t>及以上的保质期时间。</w:t>
      </w:r>
    </w:p>
    <w:p w14:paraId="38D5CFCD">
      <w:pPr>
        <w:pStyle w:val="8"/>
        <w:numPr>
          <w:ilvl w:val="0"/>
          <w:numId w:val="0"/>
        </w:numPr>
        <w:spacing w:line="440" w:lineRule="exact"/>
        <w:ind w:leftChars="0"/>
        <w:jc w:val="both"/>
        <w:rPr>
          <w:rFonts w:hint="default" w:cs="Times New Roman" w:asciiTheme="minorEastAsia" w:hAnsiTheme="minorEastAsia"/>
          <w:color w:val="auto"/>
          <w:sz w:val="24"/>
          <w:szCs w:val="24"/>
          <w:highlight w:val="none"/>
          <w:lang w:val="en-US" w:eastAsia="zh-CN"/>
        </w:rPr>
      </w:pPr>
    </w:p>
    <w:p w14:paraId="78A77478">
      <w:pPr>
        <w:pStyle w:val="4"/>
        <w:numPr>
          <w:ilvl w:val="0"/>
          <w:numId w:val="0"/>
        </w:numPr>
        <w:spacing w:before="0" w:beforeAutospacing="0" w:after="0" w:afterAutospacing="0" w:line="360" w:lineRule="auto"/>
        <w:jc w:val="both"/>
        <w:rPr>
          <w:rFonts w:ascii="宋体" w:hAnsi="宋体" w:cs="微软雅黑"/>
          <w:b/>
          <w:bCs/>
          <w:color w:val="auto"/>
          <w:sz w:val="24"/>
          <w:szCs w:val="24"/>
          <w:highlight w:val="none"/>
          <w:lang w:eastAsia="zh-CN"/>
        </w:rPr>
      </w:pPr>
      <w:r>
        <w:rPr>
          <w:rFonts w:ascii="宋体" w:hAnsi="宋体" w:cs="微软雅黑"/>
          <w:b/>
          <w:bCs/>
          <w:color w:val="auto"/>
          <w:sz w:val="24"/>
          <w:szCs w:val="24"/>
          <w:highlight w:val="none"/>
          <w:lang w:eastAsia="zh-CN"/>
        </w:rPr>
        <w:t>大米、油</w:t>
      </w:r>
      <w:r>
        <w:rPr>
          <w:rFonts w:hint="eastAsia" w:cs="Times New Roman"/>
          <w:b/>
          <w:bCs/>
          <w:color w:val="auto"/>
          <w:kern w:val="2"/>
          <w:highlight w:val="none"/>
          <w:lang w:val="en-US" w:eastAsia="zh-CN"/>
        </w:rPr>
        <w:t>采购类别</w:t>
      </w:r>
    </w:p>
    <w:p w14:paraId="27FA8C89">
      <w:pPr>
        <w:pStyle w:val="4"/>
        <w:spacing w:before="0" w:beforeAutospacing="0" w:after="0" w:afterAutospacing="0" w:line="360" w:lineRule="auto"/>
        <w:jc w:val="both"/>
        <w:rPr>
          <w:rFonts w:hint="eastAsia" w:cs="Times New Roman"/>
          <w:b/>
          <w:bCs/>
          <w:color w:val="auto"/>
          <w:kern w:val="2"/>
          <w:highlight w:val="none"/>
        </w:rPr>
      </w:pPr>
      <w:r>
        <w:rPr>
          <w:rFonts w:hint="eastAsia" w:cs="Times New Roman"/>
          <w:b/>
          <w:bCs/>
          <w:color w:val="auto"/>
          <w:kern w:val="2"/>
          <w:highlight w:val="none"/>
        </w:rPr>
        <w:t>米类：</w:t>
      </w:r>
    </w:p>
    <w:p w14:paraId="3B7FD75B">
      <w:pPr>
        <w:pStyle w:val="4"/>
        <w:spacing w:before="0" w:beforeAutospacing="0" w:after="0" w:afterAutospacing="0" w:line="360" w:lineRule="auto"/>
        <w:jc w:val="both"/>
        <w:rPr>
          <w:rFonts w:hint="default" w:cs="Times New Roman"/>
          <w:color w:val="auto"/>
          <w:kern w:val="2"/>
          <w:highlight w:val="none"/>
          <w:lang w:val="en-US"/>
        </w:rPr>
      </w:pPr>
      <w:r>
        <w:rPr>
          <w:rFonts w:cs="Times New Roman" w:asciiTheme="minorEastAsia" w:hAnsiTheme="minorEastAsia"/>
          <w:color w:val="auto"/>
          <w:sz w:val="24"/>
          <w:szCs w:val="24"/>
          <w:highlight w:val="none"/>
          <w:lang w:eastAsia="zh-CN"/>
        </w:rPr>
        <w:t>产品标签清楚、明显，生产日期、保质期等事项显著标注，容易辨识，合相关食品安全国家标准。当年新米，不能有陈米；色泽光亮，不发黄、发霉、虫蚀。面粉、杂粮、豆类外包装须完整，无破损，无不封口现象，有生产日期，且供货时至少确保产品还有</w:t>
      </w:r>
      <w:r>
        <w:rPr>
          <w:rFonts w:hint="eastAsia" w:cs="Times New Roman" w:asciiTheme="minorEastAsia" w:hAnsiTheme="minorEastAsia"/>
          <w:color w:val="auto"/>
          <w:sz w:val="24"/>
          <w:szCs w:val="24"/>
          <w:highlight w:val="none"/>
          <w:lang w:eastAsia="zh-CN"/>
        </w:rPr>
        <w:t>三分二</w:t>
      </w:r>
      <w:r>
        <w:rPr>
          <w:rFonts w:cs="Times New Roman" w:asciiTheme="minorEastAsia" w:hAnsiTheme="minorEastAsia"/>
          <w:color w:val="auto"/>
          <w:sz w:val="24"/>
          <w:szCs w:val="24"/>
          <w:highlight w:val="none"/>
          <w:lang w:eastAsia="zh-CN"/>
        </w:rPr>
        <w:t>及以上的保质期时间。</w:t>
      </w:r>
      <w:r>
        <w:rPr>
          <w:rFonts w:hint="eastAsia" w:cs="Times New Roman" w:asciiTheme="minorEastAsia" w:hAnsiTheme="minorEastAsia"/>
          <w:color w:val="auto"/>
          <w:sz w:val="24"/>
          <w:szCs w:val="24"/>
          <w:highlight w:val="none"/>
          <w:lang w:val="en-US" w:eastAsia="zh-CN"/>
        </w:rPr>
        <w:t xml:space="preserve"> </w:t>
      </w:r>
    </w:p>
    <w:p w14:paraId="4F5CA314">
      <w:pPr>
        <w:pStyle w:val="4"/>
        <w:spacing w:before="0" w:beforeAutospacing="0" w:after="0" w:afterAutospacing="0" w:line="360" w:lineRule="auto"/>
        <w:jc w:val="both"/>
        <w:rPr>
          <w:rFonts w:hint="eastAsia" w:cs="Times New Roman"/>
          <w:b/>
          <w:bCs/>
          <w:color w:val="auto"/>
          <w:kern w:val="2"/>
          <w:highlight w:val="none"/>
        </w:rPr>
      </w:pPr>
      <w:r>
        <w:rPr>
          <w:rFonts w:hint="eastAsia" w:cs="Times New Roman"/>
          <w:b/>
          <w:bCs/>
          <w:color w:val="auto"/>
          <w:kern w:val="2"/>
          <w:highlight w:val="none"/>
        </w:rPr>
        <w:t>油</w:t>
      </w:r>
      <w:r>
        <w:rPr>
          <w:rFonts w:hint="eastAsia" w:cs="Times New Roman"/>
          <w:b/>
          <w:bCs/>
          <w:color w:val="auto"/>
          <w:kern w:val="2"/>
          <w:highlight w:val="none"/>
          <w:lang w:val="en-US" w:eastAsia="zh-CN"/>
        </w:rPr>
        <w:t>类</w:t>
      </w:r>
      <w:r>
        <w:rPr>
          <w:rFonts w:hint="eastAsia" w:cs="Times New Roman"/>
          <w:b/>
          <w:bCs/>
          <w:color w:val="auto"/>
          <w:kern w:val="2"/>
          <w:highlight w:val="none"/>
        </w:rPr>
        <w:t>：</w:t>
      </w:r>
    </w:p>
    <w:p w14:paraId="21B35D1B">
      <w:pPr>
        <w:pStyle w:val="4"/>
        <w:spacing w:before="0" w:beforeAutospacing="0" w:after="0" w:afterAutospacing="0" w:line="360" w:lineRule="auto"/>
        <w:jc w:val="both"/>
        <w:rPr>
          <w:rFonts w:cs="Times New Roman"/>
          <w:color w:val="auto"/>
          <w:kern w:val="2"/>
          <w:highlight w:val="none"/>
        </w:rPr>
      </w:pPr>
      <w:r>
        <w:rPr>
          <w:rFonts w:cs="Times New Roman" w:asciiTheme="minorEastAsia" w:hAnsiTheme="minorEastAsia"/>
          <w:color w:val="auto"/>
          <w:sz w:val="24"/>
          <w:szCs w:val="24"/>
          <w:highlight w:val="none"/>
          <w:lang w:eastAsia="zh-CN"/>
        </w:rPr>
        <w:t>均为预包装食品，其中产品包装、标签、说明书清楚、明显，生产日期、保质期等事项显著标注，容易辨识，符合相关食品安全国家标准。常温下外观清澈透明无悬浮物，气味纯正无异味，黄曲霉素不超过国家规定，不含抗氧化剂，不混合其他无效物质，不添加对人体健康有害的物质。有生产日期，且供货时至少确保产品还有</w:t>
      </w:r>
      <w:r>
        <w:rPr>
          <w:rFonts w:hint="eastAsia" w:cs="Times New Roman" w:asciiTheme="minorEastAsia" w:hAnsiTheme="minorEastAsia"/>
          <w:color w:val="auto"/>
          <w:sz w:val="24"/>
          <w:szCs w:val="24"/>
          <w:highlight w:val="none"/>
          <w:lang w:eastAsia="zh-CN"/>
        </w:rPr>
        <w:t>三分二</w:t>
      </w:r>
      <w:r>
        <w:rPr>
          <w:rFonts w:cs="Times New Roman" w:asciiTheme="minorEastAsia" w:hAnsiTheme="minorEastAsia"/>
          <w:color w:val="auto"/>
          <w:sz w:val="24"/>
          <w:szCs w:val="24"/>
          <w:highlight w:val="none"/>
          <w:lang w:eastAsia="zh-CN"/>
        </w:rPr>
        <w:t>及以上的保质期时间。</w:t>
      </w:r>
    </w:p>
    <w:p w14:paraId="7529CCC8">
      <w:pPr>
        <w:widowControl/>
        <w:spacing w:line="440" w:lineRule="exact"/>
        <w:jc w:val="left"/>
        <w:rPr>
          <w:color w:val="auto"/>
          <w:kern w:val="0"/>
          <w:sz w:val="24"/>
          <w:highlight w:val="none"/>
          <w:lang w:eastAsia="zh-Hans"/>
        </w:rPr>
      </w:pPr>
      <w:r>
        <w:rPr>
          <w:rFonts w:hint="eastAsia" w:ascii="宋体" w:hAnsi="宋体" w:eastAsia="宋体" w:cs="宋体"/>
          <w:b/>
          <w:color w:val="auto"/>
          <w:kern w:val="0"/>
          <w:sz w:val="24"/>
          <w:highlight w:val="none"/>
          <w:lang w:eastAsia="zh-CN"/>
        </w:rPr>
        <w:t>（</w:t>
      </w:r>
      <w:r>
        <w:rPr>
          <w:rFonts w:hint="eastAsia" w:ascii="宋体" w:hAnsi="宋体" w:eastAsia="宋体" w:cs="宋体"/>
          <w:b/>
          <w:color w:val="auto"/>
          <w:kern w:val="0"/>
          <w:sz w:val="24"/>
          <w:highlight w:val="none"/>
          <w:lang w:val="en-US" w:eastAsia="zh-CN"/>
        </w:rPr>
        <w:t>三</w:t>
      </w:r>
      <w:r>
        <w:rPr>
          <w:rFonts w:ascii="宋体" w:hAnsi="宋体" w:eastAsia="宋体" w:cs="宋体"/>
          <w:b/>
          <w:color w:val="auto"/>
          <w:kern w:val="0"/>
          <w:sz w:val="24"/>
          <w:highlight w:val="none"/>
          <w:lang w:eastAsia="zh-Hans"/>
        </w:rPr>
        <w:t>）技术和服务的具体要求</w:t>
      </w:r>
    </w:p>
    <w:p w14:paraId="64F685D9">
      <w:pPr>
        <w:widowControl/>
        <w:spacing w:line="440" w:lineRule="exact"/>
        <w:ind w:firstLine="240"/>
        <w:jc w:val="left"/>
        <w:rPr>
          <w:b/>
          <w:bCs/>
          <w:color w:val="auto"/>
          <w:kern w:val="0"/>
          <w:sz w:val="24"/>
          <w:highlight w:val="none"/>
          <w:lang w:eastAsia="zh-Hans"/>
        </w:rPr>
      </w:pPr>
      <w:r>
        <w:rPr>
          <w:rFonts w:ascii="宋体" w:hAnsi="宋体" w:eastAsia="宋体" w:cs="宋体"/>
          <w:color w:val="auto"/>
          <w:kern w:val="0"/>
          <w:sz w:val="24"/>
          <w:highlight w:val="none"/>
          <w:lang w:eastAsia="zh-Hans"/>
        </w:rPr>
        <w:t>1.供货要求：合同签定后，信息系统平台、配送场地、车辆及人员经采购人（配送学校）验收合格后开始供货，须同步经验收合格并投入使用。</w:t>
      </w:r>
      <w:r>
        <w:rPr>
          <w:rFonts w:ascii="宋体" w:hAnsi="宋体" w:eastAsia="宋体" w:cs="宋体"/>
          <w:b/>
          <w:bCs/>
          <w:color w:val="auto"/>
          <w:kern w:val="0"/>
          <w:sz w:val="24"/>
          <w:highlight w:val="none"/>
          <w:u w:val="single"/>
          <w:lang w:eastAsia="zh-Hans"/>
        </w:rPr>
        <w:t>（</w:t>
      </w:r>
      <w:r>
        <w:rPr>
          <w:rFonts w:hint="eastAsia" w:ascii="宋体" w:hAnsi="宋体" w:eastAsia="宋体" w:cs="宋体"/>
          <w:b/>
          <w:bCs/>
          <w:color w:val="auto"/>
          <w:kern w:val="0"/>
          <w:sz w:val="24"/>
          <w:highlight w:val="none"/>
          <w:u w:val="single"/>
        </w:rPr>
        <w:t>评</w:t>
      </w:r>
      <w:r>
        <w:rPr>
          <w:rFonts w:ascii="宋体" w:hAnsi="宋体" w:eastAsia="宋体" w:cs="宋体"/>
          <w:b/>
          <w:bCs/>
          <w:color w:val="auto"/>
          <w:kern w:val="0"/>
          <w:sz w:val="24"/>
          <w:highlight w:val="none"/>
          <w:u w:val="single"/>
          <w:lang w:eastAsia="zh-Hans"/>
        </w:rPr>
        <w:t>审项</w:t>
      </w:r>
      <w:r>
        <w:rPr>
          <w:rFonts w:hint="eastAsia" w:ascii="宋体" w:hAnsi="宋体" w:eastAsia="宋体" w:cs="宋体"/>
          <w:b/>
          <w:bCs/>
          <w:color w:val="auto"/>
          <w:kern w:val="0"/>
          <w:sz w:val="24"/>
          <w:highlight w:val="none"/>
          <w:u w:val="single"/>
        </w:rPr>
        <w:t>1</w:t>
      </w:r>
      <w:r>
        <w:rPr>
          <w:rFonts w:ascii="宋体" w:hAnsi="宋体" w:eastAsia="宋体" w:cs="宋体"/>
          <w:b/>
          <w:bCs/>
          <w:color w:val="auto"/>
          <w:kern w:val="0"/>
          <w:sz w:val="24"/>
          <w:highlight w:val="none"/>
          <w:u w:val="single"/>
          <w:lang w:eastAsia="zh-Hans"/>
        </w:rPr>
        <w:t>）</w:t>
      </w:r>
    </w:p>
    <w:p w14:paraId="27994888">
      <w:pPr>
        <w:widowControl/>
        <w:spacing w:line="440" w:lineRule="exact"/>
        <w:jc w:val="left"/>
        <w:rPr>
          <w:rFonts w:ascii="宋体" w:hAnsi="宋体" w:eastAsia="宋体" w:cs="宋体"/>
          <w:color w:val="auto"/>
          <w:kern w:val="0"/>
          <w:sz w:val="24"/>
          <w:highlight w:val="none"/>
          <w:lang w:eastAsia="zh-Hans"/>
        </w:rPr>
      </w:pPr>
      <w:r>
        <w:rPr>
          <w:rFonts w:ascii="宋体" w:hAnsi="宋体" w:eastAsia="宋体" w:cs="宋体"/>
          <w:color w:val="auto"/>
          <w:kern w:val="0"/>
          <w:sz w:val="24"/>
          <w:highlight w:val="none"/>
          <w:lang w:eastAsia="zh-Hans"/>
        </w:rPr>
        <w:t>★2.供应方式</w:t>
      </w:r>
    </w:p>
    <w:p w14:paraId="29A78009">
      <w:pPr>
        <w:widowControl/>
        <w:shd w:val="clear" w:fill="FFFFFF" w:themeFill="background1"/>
        <w:spacing w:line="440" w:lineRule="exact"/>
        <w:ind w:firstLine="480"/>
        <w:jc w:val="left"/>
        <w:rPr>
          <w:color w:val="auto"/>
          <w:kern w:val="0"/>
          <w:sz w:val="24"/>
          <w:highlight w:val="none"/>
          <w:lang w:eastAsia="zh-Hans"/>
        </w:rPr>
      </w:pPr>
      <w:r>
        <w:rPr>
          <w:rFonts w:ascii="宋体" w:hAnsi="宋体" w:eastAsia="宋体" w:cs="宋体"/>
          <w:color w:val="auto"/>
          <w:kern w:val="0"/>
          <w:sz w:val="24"/>
          <w:highlight w:val="none"/>
          <w:lang w:eastAsia="zh-Hans"/>
        </w:rPr>
        <w:t>中标人应根据采购人及配送学校的具体要求进行配送，配送学校每周四前把下周所需的物资在信息系统或平台中下单给供货方</w:t>
      </w:r>
      <w:r>
        <w:rPr>
          <w:rFonts w:ascii="宋体" w:hAnsi="宋体" w:eastAsia="宋体" w:cs="宋体"/>
          <w:color w:val="auto"/>
          <w:kern w:val="0"/>
          <w:sz w:val="24"/>
          <w:highlight w:val="none"/>
          <w:shd w:val="clear" w:fill="FFFFFF" w:themeFill="background1"/>
          <w:lang w:eastAsia="zh-Hans"/>
        </w:rPr>
        <w:t>，供货方最迟</w:t>
      </w:r>
      <w:r>
        <w:rPr>
          <w:rFonts w:hint="eastAsia" w:ascii="宋体" w:hAnsi="宋体" w:eastAsia="宋体" w:cs="宋体"/>
          <w:color w:val="auto"/>
          <w:kern w:val="0"/>
          <w:sz w:val="24"/>
          <w:highlight w:val="none"/>
          <w:shd w:val="clear" w:fill="FFFFFF" w:themeFill="background1"/>
          <w:lang w:val="en-US" w:eastAsia="zh-CN"/>
        </w:rPr>
        <w:t>城区</w:t>
      </w:r>
      <w:r>
        <w:rPr>
          <w:rFonts w:ascii="宋体" w:hAnsi="宋体" w:eastAsia="宋体" w:cs="宋体"/>
          <w:color w:val="auto"/>
          <w:kern w:val="0"/>
          <w:sz w:val="24"/>
          <w:highlight w:val="none"/>
          <w:shd w:val="clear" w:fill="FFFFFF" w:themeFill="background1"/>
          <w:lang w:eastAsia="zh-Hans"/>
        </w:rPr>
        <w:t>每天上午</w:t>
      </w:r>
      <w:r>
        <w:rPr>
          <w:rFonts w:hint="eastAsia" w:ascii="宋体" w:hAnsi="宋体" w:eastAsia="宋体" w:cs="宋体"/>
          <w:color w:val="auto"/>
          <w:kern w:val="0"/>
          <w:sz w:val="24"/>
          <w:highlight w:val="none"/>
          <w:shd w:val="clear" w:fill="FFFFFF" w:themeFill="background1"/>
          <w:lang w:val="en-US" w:eastAsia="zh-CN"/>
        </w:rPr>
        <w:t>8</w:t>
      </w:r>
      <w:r>
        <w:rPr>
          <w:rFonts w:ascii="宋体" w:hAnsi="宋体" w:eastAsia="宋体" w:cs="宋体"/>
          <w:color w:val="auto"/>
          <w:kern w:val="0"/>
          <w:sz w:val="24"/>
          <w:highlight w:val="none"/>
          <w:shd w:val="clear" w:fill="FFFFFF" w:themeFill="background1"/>
          <w:lang w:eastAsia="zh-Hans"/>
        </w:rPr>
        <w:t>：00前</w:t>
      </w:r>
      <w:r>
        <w:rPr>
          <w:rFonts w:hint="eastAsia" w:ascii="宋体" w:hAnsi="宋体" w:eastAsia="宋体" w:cs="宋体"/>
          <w:color w:val="auto"/>
          <w:kern w:val="0"/>
          <w:sz w:val="24"/>
          <w:highlight w:val="none"/>
          <w:shd w:val="clear" w:fill="FFFFFF" w:themeFill="background1"/>
          <w:lang w:eastAsia="zh-CN"/>
        </w:rPr>
        <w:t>、</w:t>
      </w:r>
      <w:r>
        <w:rPr>
          <w:rFonts w:hint="eastAsia" w:ascii="宋体" w:hAnsi="宋体" w:eastAsia="宋体" w:cs="宋体"/>
          <w:color w:val="auto"/>
          <w:kern w:val="0"/>
          <w:sz w:val="24"/>
          <w:highlight w:val="none"/>
          <w:shd w:val="clear" w:fill="FFFFFF" w:themeFill="background1"/>
          <w:lang w:val="en-US" w:eastAsia="zh-CN"/>
        </w:rPr>
        <w:t>乡镇每天上午9：00前</w:t>
      </w:r>
      <w:r>
        <w:rPr>
          <w:rFonts w:ascii="宋体" w:hAnsi="宋体" w:eastAsia="宋体" w:cs="宋体"/>
          <w:color w:val="auto"/>
          <w:kern w:val="0"/>
          <w:sz w:val="24"/>
          <w:highlight w:val="none"/>
          <w:shd w:val="clear" w:fill="FFFFFF" w:themeFill="background1"/>
          <w:lang w:eastAsia="zh-Hans"/>
        </w:rPr>
        <w:t>(除自然原因造成的灾害除外)将配送所需货物送货上门，</w:t>
      </w:r>
      <w:r>
        <w:rPr>
          <w:rFonts w:hint="eastAsia" w:ascii="宋体" w:hAnsi="宋体" w:eastAsia="宋体" w:cs="宋体"/>
          <w:color w:val="auto"/>
          <w:kern w:val="0"/>
          <w:sz w:val="24"/>
          <w:highlight w:val="none"/>
          <w:shd w:val="clear" w:fill="FFFFFF" w:themeFill="background1"/>
          <w:lang w:val="en-US" w:eastAsia="zh-CN"/>
        </w:rPr>
        <w:t>若延误</w:t>
      </w:r>
      <w:r>
        <w:rPr>
          <w:rFonts w:ascii="宋体" w:hAnsi="宋体" w:eastAsia="宋体" w:cs="宋体"/>
          <w:color w:val="auto"/>
          <w:kern w:val="0"/>
          <w:sz w:val="24"/>
          <w:highlight w:val="none"/>
          <w:shd w:val="clear" w:fill="FFFFFF" w:themeFill="background1"/>
          <w:lang w:eastAsia="zh-Hans"/>
        </w:rPr>
        <w:t>造成学校不能准时供餐或无法供餐的，应承担学校</w:t>
      </w:r>
      <w:r>
        <w:rPr>
          <w:rFonts w:hint="eastAsia" w:ascii="宋体" w:hAnsi="宋体" w:eastAsia="宋体" w:cs="宋体"/>
          <w:color w:val="auto"/>
          <w:kern w:val="0"/>
          <w:sz w:val="24"/>
          <w:highlight w:val="none"/>
          <w:shd w:val="clear" w:fill="FFFFFF" w:themeFill="background1"/>
          <w:lang w:val="en-US" w:eastAsia="zh-CN"/>
        </w:rPr>
        <w:t>当日</w:t>
      </w:r>
      <w:r>
        <w:rPr>
          <w:rFonts w:ascii="宋体" w:hAnsi="宋体" w:eastAsia="宋体" w:cs="宋体"/>
          <w:color w:val="auto"/>
          <w:kern w:val="0"/>
          <w:sz w:val="24"/>
          <w:highlight w:val="none"/>
          <w:shd w:val="clear" w:fill="FFFFFF" w:themeFill="background1"/>
          <w:lang w:eastAsia="zh-Hans"/>
        </w:rPr>
        <w:t>所有的损失。</w:t>
      </w:r>
      <w:r>
        <w:rPr>
          <w:rFonts w:ascii="宋体" w:hAnsi="宋体" w:eastAsia="宋体" w:cs="宋体"/>
          <w:color w:val="auto"/>
          <w:kern w:val="0"/>
          <w:sz w:val="24"/>
          <w:highlight w:val="none"/>
          <w:lang w:eastAsia="zh-Hans"/>
        </w:rPr>
        <w:t>到位后的物资由中标人及采购人（配送学校）共同进行质量验收，中标人必须提供每次供应物资品种的检疫检测报告、物资品种化验单、物资合格等证明材料(所有证明材料均应由中标人加注供货日期和公章)。因物资品种等特殊原因无法提供物资上述证明材料的，中标人必须填报物资预售申请单以确保物资质量和避免三无产品进入。中标人对运输车辆需有定期消毒制度，避免在运输过程中导致交叉感染，使所需物资安全性出现问题。</w:t>
      </w:r>
    </w:p>
    <w:p w14:paraId="184585B1">
      <w:pPr>
        <w:keepNext w:val="0"/>
        <w:keepLines w:val="0"/>
        <w:pageBreakBefore w:val="0"/>
        <w:widowControl/>
        <w:shd w:val="clear" w:fill="FFFFFF" w:themeFill="background1"/>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kern w:val="0"/>
          <w:sz w:val="24"/>
          <w:highlight w:val="none"/>
          <w:lang w:eastAsia="zh-CN"/>
        </w:rPr>
      </w:pPr>
      <w:r>
        <w:rPr>
          <w:rFonts w:ascii="宋体" w:hAnsi="宋体" w:eastAsia="宋体" w:cs="宋体"/>
          <w:color w:val="auto"/>
          <w:kern w:val="0"/>
          <w:sz w:val="24"/>
          <w:highlight w:val="none"/>
          <w:lang w:eastAsia="zh-Hans"/>
        </w:rPr>
        <w:t>★3.</w:t>
      </w:r>
      <w:r>
        <w:rPr>
          <w:rFonts w:hint="eastAsia" w:ascii="宋体" w:hAnsi="宋体" w:eastAsia="宋体" w:cs="宋体"/>
          <w:color w:val="auto"/>
          <w:kern w:val="0"/>
          <w:sz w:val="24"/>
          <w:highlight w:val="none"/>
          <w:lang w:eastAsia="zh-Hans"/>
        </w:rPr>
        <w:t>市场价格调查方式</w:t>
      </w:r>
      <w:r>
        <w:rPr>
          <w:rFonts w:hint="eastAsia" w:ascii="宋体" w:hAnsi="宋体" w:eastAsia="宋体" w:cs="宋体"/>
          <w:color w:val="auto"/>
          <w:kern w:val="0"/>
          <w:sz w:val="24"/>
          <w:highlight w:val="none"/>
          <w:lang w:eastAsia="zh-CN"/>
        </w:rPr>
        <w:t>：</w:t>
      </w:r>
    </w:p>
    <w:p w14:paraId="6F4A4B45">
      <w:pPr>
        <w:pStyle w:val="8"/>
        <w:keepNext w:val="0"/>
        <w:keepLines w:val="0"/>
        <w:pageBreakBefore w:val="0"/>
        <w:widowControl/>
        <w:shd w:val="clear" w:fill="FFFFFF" w:themeFill="background1"/>
        <w:kinsoku/>
        <w:wordWrap/>
        <w:overflowPunct/>
        <w:topLinePunct w:val="0"/>
        <w:autoSpaceDE/>
        <w:autoSpaceDN/>
        <w:bidi w:val="0"/>
        <w:adjustRightInd/>
        <w:snapToGrid/>
        <w:spacing w:line="360" w:lineRule="auto"/>
        <w:ind w:firstLine="482"/>
        <w:jc w:val="both"/>
        <w:textAlignment w:val="auto"/>
        <w:rPr>
          <w:rFonts w:hint="eastAsia" w:asciiTheme="minorEastAsia" w:hAnsiTheme="minorEastAsia" w:eastAsiaTheme="minorEastAsia" w:cstheme="minorEastAsia"/>
          <w:color w:val="auto"/>
          <w:sz w:val="24"/>
          <w:highlight w:val="none"/>
          <w:shd w:val="clear" w:fill="FFFFFF" w:themeFill="background1"/>
        </w:rPr>
      </w:pPr>
      <w:r>
        <w:rPr>
          <w:rFonts w:hint="eastAsia" w:asciiTheme="minorEastAsia" w:hAnsiTheme="minorEastAsia" w:cstheme="minorEastAsia"/>
          <w:color w:val="auto"/>
          <w:sz w:val="24"/>
          <w:highlight w:val="none"/>
          <w:lang w:val="en-US" w:eastAsia="zh-CN"/>
        </w:rPr>
        <w:t>3.1</w:t>
      </w:r>
      <w:r>
        <w:rPr>
          <w:rFonts w:hint="eastAsia" w:asciiTheme="minorEastAsia" w:hAnsiTheme="minorEastAsia" w:eastAsiaTheme="minorEastAsia" w:cstheme="minorEastAsia"/>
          <w:color w:val="auto"/>
          <w:sz w:val="24"/>
          <w:highlight w:val="none"/>
        </w:rPr>
        <w:t>人员组成：</w:t>
      </w:r>
      <w:r>
        <w:rPr>
          <w:rFonts w:hint="eastAsia" w:asciiTheme="minorEastAsia" w:hAnsiTheme="minorEastAsia" w:eastAsiaTheme="minorEastAsia" w:cstheme="minorEastAsia"/>
          <w:color w:val="auto"/>
          <w:sz w:val="24"/>
          <w:highlight w:val="none"/>
          <w:shd w:val="clear" w:fill="FFFFFF" w:themeFill="background1"/>
        </w:rPr>
        <w:t>每月由采购项目学校与中标人等联合成立市场价格调查小组，采购人安排业务人员全程监督。每次市场价格调查由城区6所学校（园）轮值项目学校选派1名人员、中标人选派2名代表、家长代表1名共同到场开展超市市场价格调查，市场价格调查结果作为各校下月食材采购的定价依据。</w:t>
      </w:r>
    </w:p>
    <w:p w14:paraId="0E0F79F1">
      <w:pPr>
        <w:pStyle w:val="8"/>
        <w:keepNext w:val="0"/>
        <w:keepLines w:val="0"/>
        <w:pageBreakBefore w:val="0"/>
        <w:widowControl/>
        <w:kinsoku/>
        <w:wordWrap/>
        <w:overflowPunct/>
        <w:topLinePunct w:val="0"/>
        <w:autoSpaceDE/>
        <w:autoSpaceDN/>
        <w:bidi w:val="0"/>
        <w:adjustRightInd/>
        <w:snapToGrid/>
        <w:spacing w:line="360" w:lineRule="auto"/>
        <w:ind w:firstLine="482"/>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sz w:val="24"/>
          <w:highlight w:val="none"/>
          <w:lang w:val="en-US" w:eastAsia="zh-CN"/>
        </w:rPr>
        <w:t>3.2</w:t>
      </w:r>
      <w:r>
        <w:rPr>
          <w:rFonts w:hint="eastAsia" w:asciiTheme="minorEastAsia" w:hAnsiTheme="minorEastAsia" w:eastAsiaTheme="minorEastAsia" w:cstheme="minorEastAsia"/>
          <w:color w:val="auto"/>
          <w:sz w:val="24"/>
          <w:highlight w:val="none"/>
        </w:rPr>
        <w:t>调查范围：</w:t>
      </w:r>
      <w:r>
        <w:rPr>
          <w:rFonts w:hint="eastAsia" w:asciiTheme="minorEastAsia" w:hAnsiTheme="minorEastAsia" w:cstheme="minorEastAsia"/>
          <w:color w:val="auto"/>
          <w:sz w:val="24"/>
          <w:highlight w:val="none"/>
          <w:u w:val="single"/>
          <w:lang w:val="en-US" w:eastAsia="zh-CN"/>
        </w:rPr>
        <w:t>华兴</w:t>
      </w:r>
      <w:r>
        <w:rPr>
          <w:rFonts w:hint="eastAsia" w:asciiTheme="minorEastAsia" w:hAnsiTheme="minorEastAsia" w:eastAsiaTheme="minorEastAsia" w:cstheme="minorEastAsia"/>
          <w:color w:val="auto"/>
          <w:sz w:val="24"/>
          <w:highlight w:val="none"/>
          <w:u w:val="single"/>
        </w:rPr>
        <w:t>超市、</w:t>
      </w:r>
      <w:r>
        <w:rPr>
          <w:rFonts w:hint="eastAsia" w:asciiTheme="minorEastAsia" w:hAnsiTheme="minorEastAsia" w:cstheme="minorEastAsia"/>
          <w:color w:val="auto"/>
          <w:sz w:val="24"/>
          <w:highlight w:val="none"/>
          <w:u w:val="single"/>
          <w:lang w:val="en-US" w:eastAsia="zh-CN"/>
        </w:rPr>
        <w:t>国中</w:t>
      </w:r>
      <w:r>
        <w:rPr>
          <w:rFonts w:hint="eastAsia" w:asciiTheme="minorEastAsia" w:hAnsiTheme="minorEastAsia" w:eastAsiaTheme="minorEastAsia" w:cstheme="minorEastAsia"/>
          <w:color w:val="auto"/>
          <w:sz w:val="24"/>
          <w:highlight w:val="none"/>
          <w:u w:val="single"/>
        </w:rPr>
        <w:t>超市</w:t>
      </w:r>
      <w:r>
        <w:rPr>
          <w:rFonts w:hint="eastAsia" w:asciiTheme="minorEastAsia" w:hAnsiTheme="minorEastAsia" w:eastAsiaTheme="minorEastAsia" w:cstheme="minorEastAsia"/>
          <w:color w:val="auto"/>
          <w:sz w:val="24"/>
          <w:highlight w:val="none"/>
        </w:rPr>
        <w:t>、</w:t>
      </w:r>
      <w:r>
        <w:rPr>
          <w:rFonts w:hint="eastAsia" w:asciiTheme="minorEastAsia" w:hAnsiTheme="minorEastAsia" w:cstheme="minorEastAsia"/>
          <w:color w:val="auto"/>
          <w:sz w:val="24"/>
          <w:highlight w:val="none"/>
          <w:u w:val="single"/>
          <w:lang w:val="en-US" w:eastAsia="zh-CN"/>
        </w:rPr>
        <w:t xml:space="preserve"> 乐嘉</w:t>
      </w:r>
      <w:r>
        <w:rPr>
          <w:rFonts w:hint="eastAsia" w:asciiTheme="minorEastAsia" w:hAnsiTheme="minorEastAsia" w:eastAsiaTheme="minorEastAsia" w:cstheme="minorEastAsia"/>
          <w:color w:val="auto"/>
          <w:sz w:val="24"/>
          <w:highlight w:val="none"/>
          <w:u w:val="single"/>
        </w:rPr>
        <w:t>超市</w:t>
      </w:r>
      <w:r>
        <w:rPr>
          <w:rFonts w:hint="eastAsia" w:asciiTheme="minorEastAsia" w:hAnsiTheme="minorEastAsia" w:eastAsiaTheme="minorEastAsia" w:cstheme="minorEastAsia"/>
          <w:color w:val="auto"/>
          <w:sz w:val="24"/>
          <w:highlight w:val="none"/>
        </w:rPr>
        <w:t>，若发生特殊情况可选超市不足3家，由采购</w:t>
      </w:r>
      <w:r>
        <w:rPr>
          <w:rFonts w:hint="eastAsia" w:asciiTheme="minorEastAsia" w:hAnsiTheme="minorEastAsia" w:cstheme="minorEastAsia"/>
          <w:color w:val="auto"/>
          <w:sz w:val="24"/>
          <w:highlight w:val="none"/>
          <w:lang w:val="en-US" w:eastAsia="zh-CN"/>
        </w:rPr>
        <w:t>人</w:t>
      </w:r>
      <w:r>
        <w:rPr>
          <w:rFonts w:hint="eastAsia" w:asciiTheme="minorEastAsia" w:hAnsiTheme="minorEastAsia" w:eastAsiaTheme="minorEastAsia" w:cstheme="minorEastAsia"/>
          <w:color w:val="auto"/>
          <w:sz w:val="24"/>
          <w:highlight w:val="none"/>
        </w:rPr>
        <w:t>与</w:t>
      </w:r>
      <w:r>
        <w:rPr>
          <w:rFonts w:hint="eastAsia" w:asciiTheme="minorEastAsia" w:hAnsiTheme="minorEastAsia" w:cstheme="minorEastAsia"/>
          <w:color w:val="auto"/>
          <w:sz w:val="24"/>
          <w:highlight w:val="none"/>
          <w:lang w:val="en-US" w:eastAsia="zh-CN"/>
        </w:rPr>
        <w:t>中</w:t>
      </w:r>
      <w:r>
        <w:rPr>
          <w:rFonts w:hint="eastAsia" w:asciiTheme="minorEastAsia" w:hAnsiTheme="minorEastAsia" w:eastAsiaTheme="minorEastAsia" w:cstheme="minorEastAsia"/>
          <w:color w:val="auto"/>
          <w:sz w:val="24"/>
          <w:highlight w:val="none"/>
        </w:rPr>
        <w:t>标人另行商议确定市场价格调查渠道</w:t>
      </w:r>
      <w:r>
        <w:rPr>
          <w:rFonts w:hint="eastAsia" w:asciiTheme="minorEastAsia" w:hAnsiTheme="minorEastAsia" w:cstheme="minorEastAsia"/>
          <w:color w:val="auto"/>
          <w:sz w:val="24"/>
          <w:highlight w:val="none"/>
          <w:lang w:val="en-US" w:eastAsia="zh-CN"/>
        </w:rPr>
        <w:t>以及询价过程中若出现商品更齐全的商超可与中标人商议更换</w:t>
      </w:r>
      <w:r>
        <w:rPr>
          <w:rFonts w:hint="eastAsia" w:asciiTheme="minorEastAsia" w:hAnsiTheme="minorEastAsia" w:eastAsiaTheme="minorEastAsia" w:cstheme="minorEastAsia"/>
          <w:color w:val="auto"/>
          <w:sz w:val="24"/>
          <w:highlight w:val="none"/>
        </w:rPr>
        <w:t>。</w:t>
      </w:r>
    </w:p>
    <w:p w14:paraId="2BFE6D25">
      <w:pPr>
        <w:pStyle w:val="8"/>
        <w:keepNext w:val="0"/>
        <w:keepLines w:val="0"/>
        <w:pageBreakBefore w:val="0"/>
        <w:widowControl/>
        <w:kinsoku/>
        <w:wordWrap/>
        <w:overflowPunct/>
        <w:topLinePunct w:val="0"/>
        <w:autoSpaceDE/>
        <w:autoSpaceDN/>
        <w:bidi w:val="0"/>
        <w:adjustRightInd/>
        <w:snapToGrid/>
        <w:spacing w:line="360" w:lineRule="auto"/>
        <w:ind w:firstLine="482"/>
        <w:jc w:val="both"/>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 价格标准：</w:t>
      </w:r>
      <w:r>
        <w:rPr>
          <w:rFonts w:hint="eastAsia" w:asciiTheme="minorEastAsia" w:hAnsiTheme="minorEastAsia" w:eastAsiaTheme="minorEastAsia" w:cstheme="minorEastAsia"/>
          <w:color w:val="auto"/>
          <w:sz w:val="24"/>
          <w:highlight w:val="none"/>
          <w:lang w:eastAsia="zh-CN"/>
        </w:rPr>
        <w:t>市场价格调查统一采集超市当日</w:t>
      </w:r>
      <w:r>
        <w:rPr>
          <w:rFonts w:hint="eastAsia" w:asciiTheme="minorEastAsia" w:hAnsiTheme="minorEastAsia" w:eastAsiaTheme="minorEastAsia" w:cstheme="minorEastAsia"/>
          <w:color w:val="auto"/>
          <w:sz w:val="24"/>
          <w:highlight w:val="none"/>
          <w:lang w:val="en-US" w:eastAsia="zh-CN"/>
        </w:rPr>
        <w:t>询价时间点</w:t>
      </w:r>
      <w:r>
        <w:rPr>
          <w:rFonts w:hint="eastAsia" w:asciiTheme="minorEastAsia" w:hAnsiTheme="minorEastAsia" w:eastAsiaTheme="minorEastAsia" w:cstheme="minorEastAsia"/>
          <w:color w:val="auto"/>
          <w:sz w:val="24"/>
          <w:highlight w:val="none"/>
          <w:lang w:eastAsia="zh-CN"/>
        </w:rPr>
        <w:t>销售价格</w:t>
      </w:r>
      <w:r>
        <w:rPr>
          <w:rFonts w:hint="eastAsia" w:asciiTheme="minorEastAsia" w:hAnsiTheme="minorEastAsia" w:eastAsiaTheme="minorEastAsia" w:cstheme="minorEastAsia"/>
          <w:color w:val="auto"/>
          <w:sz w:val="24"/>
          <w:highlight w:val="none"/>
          <w:lang w:val="en-US" w:eastAsia="zh-CN"/>
        </w:rPr>
        <w:t>的</w:t>
      </w:r>
      <w:r>
        <w:rPr>
          <w:rFonts w:hint="eastAsia" w:asciiTheme="minorEastAsia" w:hAnsiTheme="minorEastAsia" w:eastAsiaTheme="minorEastAsia" w:cstheme="minorEastAsia"/>
          <w:color w:val="auto"/>
          <w:sz w:val="24"/>
          <w:highlight w:val="none"/>
          <w:lang w:eastAsia="zh-CN"/>
        </w:rPr>
        <w:t>有效在售价格，</w:t>
      </w:r>
      <w:r>
        <w:rPr>
          <w:rFonts w:hint="eastAsia" w:asciiTheme="minorEastAsia" w:hAnsiTheme="minorEastAsia" w:eastAsiaTheme="minorEastAsia" w:cstheme="minorEastAsia"/>
          <w:color w:val="auto"/>
          <w:sz w:val="24"/>
          <w:highlight w:val="none"/>
        </w:rPr>
        <w:t>但有注明大宗团购不参与、限购数量的除外。采用以上3家超市价格调查数据的算术平均值，作为市场基准价（</w:t>
      </w:r>
      <w:r>
        <w:rPr>
          <w:rFonts w:hint="eastAsia" w:asciiTheme="minorEastAsia" w:hAnsiTheme="minorEastAsia" w:eastAsiaTheme="minorEastAsia" w:cstheme="minorEastAsia"/>
          <w:color w:val="auto"/>
          <w:sz w:val="24"/>
          <w:highlight w:val="none"/>
          <w:lang w:eastAsia="zh-CN"/>
        </w:rPr>
        <w:t>价格调查数据少于3家</w:t>
      </w:r>
      <w:r>
        <w:rPr>
          <w:rFonts w:hint="eastAsia" w:asciiTheme="minorEastAsia" w:hAnsiTheme="minorEastAsia" w:eastAsiaTheme="minorEastAsia" w:cstheme="minorEastAsia"/>
          <w:color w:val="auto"/>
          <w:sz w:val="24"/>
          <w:highlight w:val="none"/>
          <w:lang w:val="en-US" w:eastAsia="zh-CN"/>
        </w:rPr>
        <w:t>的</w:t>
      </w:r>
      <w:r>
        <w:rPr>
          <w:rFonts w:hint="eastAsia" w:asciiTheme="minorEastAsia" w:hAnsiTheme="minorEastAsia" w:eastAsiaTheme="minorEastAsia" w:cstheme="minorEastAsia"/>
          <w:color w:val="auto"/>
          <w:sz w:val="24"/>
          <w:highlight w:val="none"/>
          <w:lang w:eastAsia="zh-CN"/>
        </w:rPr>
        <w:t>则</w:t>
      </w:r>
      <w:r>
        <w:rPr>
          <w:rFonts w:hint="eastAsia" w:asciiTheme="minorEastAsia" w:hAnsiTheme="minorEastAsia" w:eastAsiaTheme="minorEastAsia" w:cstheme="minorEastAsia"/>
          <w:color w:val="auto"/>
          <w:sz w:val="24"/>
          <w:highlight w:val="none"/>
          <w:lang w:val="en-US" w:eastAsia="zh-CN"/>
        </w:rPr>
        <w:t>推荐 1-2 家未联系过的超市进行询价，补齐 3 家供应商，全程留询价人签字记录，</w:t>
      </w:r>
      <w:r>
        <w:rPr>
          <w:rFonts w:hint="eastAsia" w:asciiTheme="minorEastAsia" w:hAnsiTheme="minorEastAsia" w:eastAsiaTheme="minorEastAsia" w:cstheme="minorEastAsia"/>
          <w:color w:val="auto"/>
          <w:sz w:val="24"/>
          <w:highlight w:val="none"/>
          <w:lang w:eastAsia="zh-CN"/>
        </w:rPr>
        <w:t>按实际取平均值</w:t>
      </w:r>
      <w:r>
        <w:rPr>
          <w:rFonts w:hint="eastAsia" w:asciiTheme="minorEastAsia" w:hAnsiTheme="minorEastAsia" w:eastAsiaTheme="minorEastAsia" w:cstheme="minorEastAsia"/>
          <w:color w:val="auto"/>
          <w:sz w:val="24"/>
          <w:highlight w:val="none"/>
        </w:rPr>
        <w:t>）。</w:t>
      </w:r>
    </w:p>
    <w:p w14:paraId="46474B4C">
      <w:pPr>
        <w:pStyle w:val="8"/>
        <w:keepNext w:val="0"/>
        <w:keepLines w:val="0"/>
        <w:pageBreakBefore w:val="0"/>
        <w:widowControl/>
        <w:kinsoku/>
        <w:wordWrap/>
        <w:overflowPunct/>
        <w:topLinePunct w:val="0"/>
        <w:autoSpaceDE/>
        <w:autoSpaceDN/>
        <w:bidi w:val="0"/>
        <w:adjustRightInd/>
        <w:snapToGrid/>
        <w:spacing w:line="360" w:lineRule="auto"/>
        <w:ind w:firstLine="482"/>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（4.）调查频次：“生鲜、果蔬菜”等价格变化幅度较大的食材，每月市场价格调查1次；“米面、食用油、肉制品、奶、冻品、干货、调味品”等价格变化幅度较小的食材，分别在</w:t>
      </w:r>
      <w:r>
        <w:rPr>
          <w:rFonts w:hint="eastAsia" w:asciiTheme="minorEastAsia" w:hAnsiTheme="minorEastAsia" w:cstheme="minorEastAsia"/>
          <w:color w:val="auto"/>
          <w:sz w:val="24"/>
          <w:highlight w:val="none"/>
          <w:lang w:val="en-US" w:eastAsia="zh-CN"/>
        </w:rPr>
        <w:t>每</w:t>
      </w:r>
      <w:r>
        <w:rPr>
          <w:rFonts w:hint="eastAsia" w:asciiTheme="minorEastAsia" w:hAnsiTheme="minorEastAsia" w:eastAsiaTheme="minorEastAsia" w:cstheme="minorEastAsia"/>
          <w:color w:val="auto"/>
          <w:sz w:val="24"/>
          <w:highlight w:val="none"/>
        </w:rPr>
        <w:t>学</w:t>
      </w:r>
      <w:r>
        <w:rPr>
          <w:rFonts w:hint="eastAsia" w:asciiTheme="minorEastAsia" w:hAnsiTheme="minorEastAsia" w:cstheme="minorEastAsia"/>
          <w:color w:val="auto"/>
          <w:sz w:val="24"/>
          <w:highlight w:val="none"/>
          <w:lang w:val="en-US" w:eastAsia="zh-CN"/>
        </w:rPr>
        <w:t>期</w:t>
      </w:r>
      <w:r>
        <w:rPr>
          <w:rFonts w:hint="eastAsia" w:asciiTheme="minorEastAsia" w:hAnsiTheme="minorEastAsia" w:eastAsiaTheme="minorEastAsia" w:cstheme="minorEastAsia"/>
          <w:color w:val="auto"/>
          <w:sz w:val="24"/>
          <w:highlight w:val="none"/>
        </w:rPr>
        <w:t>配送前一周</w:t>
      </w:r>
      <w:r>
        <w:rPr>
          <w:rFonts w:hint="eastAsia" w:asciiTheme="minorEastAsia" w:hAnsiTheme="minorEastAsia" w:cstheme="minorEastAsia"/>
          <w:color w:val="auto"/>
          <w:sz w:val="24"/>
          <w:highlight w:val="none"/>
          <w:lang w:val="en-US" w:eastAsia="zh-CN"/>
        </w:rPr>
        <w:t>进行</w:t>
      </w:r>
      <w:r>
        <w:rPr>
          <w:rFonts w:hint="eastAsia" w:asciiTheme="minorEastAsia" w:hAnsiTheme="minorEastAsia" w:eastAsiaTheme="minorEastAsia" w:cstheme="minorEastAsia"/>
          <w:color w:val="auto"/>
          <w:sz w:val="24"/>
          <w:highlight w:val="none"/>
        </w:rPr>
        <w:t>价格调查。</w:t>
      </w:r>
    </w:p>
    <w:p w14:paraId="4F7A3483">
      <w:pPr>
        <w:pStyle w:val="8"/>
        <w:keepNext w:val="0"/>
        <w:keepLines w:val="0"/>
        <w:pageBreakBefore w:val="0"/>
        <w:widowControl/>
        <w:shd w:val="clear" w:fill="FFFFFF" w:themeFill="background1"/>
        <w:kinsoku/>
        <w:wordWrap/>
        <w:overflowPunct/>
        <w:topLinePunct w:val="0"/>
        <w:autoSpaceDE/>
        <w:autoSpaceDN/>
        <w:bidi w:val="0"/>
        <w:adjustRightInd/>
        <w:snapToGrid/>
        <w:spacing w:line="360" w:lineRule="auto"/>
        <w:ind w:firstLine="482"/>
        <w:jc w:val="both"/>
        <w:textAlignment w:val="auto"/>
        <w:rPr>
          <w:rFonts w:hint="eastAsia" w:asciiTheme="minorEastAsia" w:hAnsiTheme="minorEastAsia" w:eastAsiaTheme="minorEastAsia" w:cstheme="minorEastAsia"/>
          <w:color w:val="auto"/>
          <w:highlight w:val="none"/>
          <w:shd w:val="clear" w:fill="FFFFFF" w:themeFill="background1"/>
        </w:rPr>
      </w:pPr>
      <w:r>
        <w:rPr>
          <w:rFonts w:hint="eastAsia" w:asciiTheme="minorEastAsia" w:hAnsiTheme="minorEastAsia" w:eastAsiaTheme="minorEastAsia" w:cstheme="minorEastAsia"/>
          <w:color w:val="auto"/>
          <w:sz w:val="24"/>
          <w:highlight w:val="none"/>
        </w:rPr>
        <w:t>（5）特殊处理：若单次市场价格调查食材品类多、现有人员无法完成全覆盖精准市场价格调查，由采购</w:t>
      </w:r>
      <w:r>
        <w:rPr>
          <w:rFonts w:hint="eastAsia" w:asciiTheme="minorEastAsia" w:hAnsiTheme="minorEastAsia" w:cstheme="minorEastAsia"/>
          <w:color w:val="auto"/>
          <w:sz w:val="24"/>
          <w:highlight w:val="none"/>
          <w:lang w:val="en-US" w:eastAsia="zh-CN"/>
        </w:rPr>
        <w:t>人</w:t>
      </w:r>
      <w:r>
        <w:rPr>
          <w:rFonts w:hint="eastAsia" w:asciiTheme="minorEastAsia" w:hAnsiTheme="minorEastAsia" w:eastAsiaTheme="minorEastAsia" w:cstheme="minorEastAsia"/>
          <w:color w:val="auto"/>
          <w:sz w:val="24"/>
          <w:highlight w:val="none"/>
        </w:rPr>
        <w:t>协调其他项目学校协同参与，确保食材调查全、价格信息准确。未纳入当期市场价格调查范围的学校紧缺食材，经双方协商一致后，可组织专项补充市场价格调查</w:t>
      </w:r>
      <w:r>
        <w:rPr>
          <w:rFonts w:hint="eastAsia" w:asciiTheme="minorEastAsia" w:hAnsiTheme="minorEastAsia" w:eastAsiaTheme="minorEastAsia" w:cstheme="minorEastAsia"/>
          <w:color w:val="auto"/>
          <w:sz w:val="24"/>
          <w:highlight w:val="none"/>
          <w:shd w:val="clear" w:fill="FFFFFF" w:themeFill="background1"/>
        </w:rPr>
        <w:t>。因突发、不可预见因素需临时调整个别食材价格的，</w:t>
      </w:r>
      <w:r>
        <w:rPr>
          <w:rFonts w:hint="eastAsia" w:asciiTheme="minorEastAsia" w:hAnsiTheme="minorEastAsia" w:cstheme="minorEastAsia"/>
          <w:color w:val="auto"/>
          <w:sz w:val="24"/>
          <w:highlight w:val="none"/>
          <w:shd w:val="clear" w:fill="FFFFFF" w:themeFill="background1"/>
          <w:lang w:val="en-US" w:eastAsia="zh-CN"/>
        </w:rPr>
        <w:t>中</w:t>
      </w:r>
      <w:r>
        <w:rPr>
          <w:rFonts w:hint="eastAsia" w:asciiTheme="minorEastAsia" w:hAnsiTheme="minorEastAsia" w:eastAsiaTheme="minorEastAsia" w:cstheme="minorEastAsia"/>
          <w:color w:val="auto"/>
          <w:sz w:val="24"/>
          <w:highlight w:val="none"/>
          <w:shd w:val="clear" w:fill="FFFFFF" w:themeFill="background1"/>
        </w:rPr>
        <w:t>标人须提前书面告知</w:t>
      </w:r>
      <w:r>
        <w:rPr>
          <w:rFonts w:hint="eastAsia" w:asciiTheme="minorEastAsia" w:hAnsiTheme="minorEastAsia" w:cstheme="minorEastAsia"/>
          <w:color w:val="auto"/>
          <w:sz w:val="24"/>
          <w:highlight w:val="none"/>
          <w:shd w:val="clear" w:fill="FFFFFF" w:themeFill="background1"/>
          <w:lang w:val="en-US" w:eastAsia="zh-CN"/>
        </w:rPr>
        <w:t>教育局营养办</w:t>
      </w:r>
      <w:r>
        <w:rPr>
          <w:rFonts w:hint="eastAsia" w:asciiTheme="minorEastAsia" w:hAnsiTheme="minorEastAsia" w:eastAsiaTheme="minorEastAsia" w:cstheme="minorEastAsia"/>
          <w:color w:val="auto"/>
          <w:sz w:val="24"/>
          <w:highlight w:val="none"/>
          <w:shd w:val="clear" w:fill="FFFFFF" w:themeFill="background1"/>
        </w:rPr>
        <w:t>，经</w:t>
      </w:r>
      <w:r>
        <w:rPr>
          <w:rFonts w:hint="eastAsia" w:asciiTheme="minorEastAsia" w:hAnsiTheme="minorEastAsia" w:cstheme="minorEastAsia"/>
          <w:color w:val="auto"/>
          <w:sz w:val="24"/>
          <w:highlight w:val="none"/>
          <w:shd w:val="clear" w:fill="FFFFFF" w:themeFill="background1"/>
          <w:lang w:val="en-US" w:eastAsia="zh-CN"/>
        </w:rPr>
        <w:t>营养办</w:t>
      </w:r>
      <w:r>
        <w:rPr>
          <w:rFonts w:hint="eastAsia" w:asciiTheme="minorEastAsia" w:hAnsiTheme="minorEastAsia" w:eastAsiaTheme="minorEastAsia" w:cstheme="minorEastAsia"/>
          <w:color w:val="auto"/>
          <w:sz w:val="24"/>
          <w:highlight w:val="none"/>
          <w:shd w:val="clear" w:fill="FFFFFF" w:themeFill="background1"/>
        </w:rPr>
        <w:t>书面确认后方可调价。</w:t>
      </w:r>
    </w:p>
    <w:p w14:paraId="0248C6C2">
      <w:pPr>
        <w:pStyle w:val="8"/>
        <w:keepNext w:val="0"/>
        <w:keepLines w:val="0"/>
        <w:pageBreakBefore w:val="0"/>
        <w:widowControl/>
        <w:shd w:val="clear" w:fill="FFFFFF" w:themeFill="background1"/>
        <w:kinsoku/>
        <w:wordWrap/>
        <w:overflowPunct/>
        <w:topLinePunct w:val="0"/>
        <w:autoSpaceDE/>
        <w:autoSpaceDN/>
        <w:bidi w:val="0"/>
        <w:adjustRightInd/>
        <w:snapToGrid/>
        <w:spacing w:line="360" w:lineRule="auto"/>
        <w:ind w:firstLine="482"/>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（6） 报备流程：每月23日前，</w:t>
      </w:r>
      <w:r>
        <w:rPr>
          <w:rFonts w:hint="eastAsia" w:asciiTheme="minorEastAsia" w:hAnsiTheme="minorEastAsia" w:eastAsiaTheme="minorEastAsia" w:cstheme="minorEastAsia"/>
          <w:color w:val="auto"/>
          <w:sz w:val="24"/>
          <w:highlight w:val="none"/>
          <w:lang w:val="en-US" w:eastAsia="zh-CN"/>
        </w:rPr>
        <w:t>中标人</w:t>
      </w:r>
      <w:r>
        <w:rPr>
          <w:rFonts w:hint="eastAsia" w:asciiTheme="minorEastAsia" w:hAnsiTheme="minorEastAsia" w:eastAsiaTheme="minorEastAsia" w:cstheme="minorEastAsia"/>
          <w:color w:val="auto"/>
          <w:sz w:val="24"/>
          <w:highlight w:val="none"/>
          <w:lang w:eastAsia="zh-CN"/>
        </w:rPr>
        <w:t>根据</w:t>
      </w:r>
      <w:r>
        <w:rPr>
          <w:rFonts w:hint="eastAsia" w:asciiTheme="minorEastAsia" w:hAnsiTheme="minorEastAsia" w:eastAsiaTheme="minorEastAsia" w:cstheme="minorEastAsia"/>
          <w:color w:val="auto"/>
          <w:sz w:val="24"/>
          <w:highlight w:val="none"/>
        </w:rPr>
        <w:t>《学生餐营养指南》等标准，</w:t>
      </w:r>
      <w:r>
        <w:rPr>
          <w:rFonts w:hint="eastAsia" w:asciiTheme="minorEastAsia" w:hAnsiTheme="minorEastAsia" w:eastAsiaTheme="minorEastAsia" w:cstheme="minorEastAsia"/>
          <w:color w:val="auto"/>
          <w:sz w:val="24"/>
          <w:highlight w:val="none"/>
          <w:lang w:eastAsia="zh-CN"/>
        </w:rPr>
        <w:t>结合当地中小学生营养健康状况，依托九年义务教育配餐系统制定符合营养分析标准的次月带量食谱，报送局营养办审核备案。中标人（供应商）严格按照系统营养分析标准落实配餐食材供应，若食谱营养指标存在偏差，须根据系统营养分析提示及时调整配餐食材，全程主动接受局营养办的监督。</w:t>
      </w:r>
      <w:r>
        <w:rPr>
          <w:rFonts w:hint="eastAsia" w:asciiTheme="minorEastAsia" w:hAnsiTheme="minorEastAsia" w:eastAsiaTheme="minorEastAsia" w:cstheme="minorEastAsia"/>
          <w:color w:val="auto"/>
          <w:sz w:val="24"/>
          <w:highlight w:val="none"/>
        </w:rPr>
        <w:t>24日前，</w:t>
      </w:r>
      <w:r>
        <w:rPr>
          <w:rFonts w:hint="eastAsia" w:asciiTheme="minorEastAsia" w:hAnsiTheme="minorEastAsia" w:cstheme="minorEastAsia"/>
          <w:color w:val="auto"/>
          <w:sz w:val="24"/>
          <w:highlight w:val="none"/>
          <w:lang w:val="en-US" w:eastAsia="zh-CN"/>
        </w:rPr>
        <w:t>中</w:t>
      </w:r>
      <w:r>
        <w:rPr>
          <w:rFonts w:hint="eastAsia" w:asciiTheme="minorEastAsia" w:hAnsiTheme="minorEastAsia" w:eastAsiaTheme="minorEastAsia" w:cstheme="minorEastAsia"/>
          <w:color w:val="auto"/>
          <w:sz w:val="24"/>
          <w:highlight w:val="none"/>
        </w:rPr>
        <w:t>标人汇总全部需求并制作市场价格调查清单，提交市场价格调查小组用于现场市场价格调查。</w:t>
      </w:r>
    </w:p>
    <w:p w14:paraId="072DB867">
      <w:pPr>
        <w:pStyle w:val="8"/>
        <w:keepNext w:val="0"/>
        <w:keepLines w:val="0"/>
        <w:pageBreakBefore w:val="0"/>
        <w:widowControl/>
        <w:kinsoku/>
        <w:wordWrap/>
        <w:overflowPunct/>
        <w:topLinePunct w:val="0"/>
        <w:autoSpaceDE/>
        <w:autoSpaceDN/>
        <w:bidi w:val="0"/>
        <w:adjustRightInd/>
        <w:snapToGrid/>
        <w:spacing w:line="360" w:lineRule="auto"/>
        <w:ind w:firstLine="482"/>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（7） 若上级主管部门出台新的市场价格调查办法，按新办法执行。</w:t>
      </w:r>
    </w:p>
    <w:p w14:paraId="14CB733C">
      <w:pPr>
        <w:widowControl/>
        <w:spacing w:line="440" w:lineRule="exact"/>
        <w:ind w:firstLine="240"/>
        <w:jc w:val="left"/>
        <w:rPr>
          <w:color w:val="auto"/>
          <w:kern w:val="0"/>
          <w:sz w:val="24"/>
          <w:highlight w:val="none"/>
          <w:lang w:eastAsia="zh-Hans"/>
        </w:rPr>
      </w:pPr>
      <w:r>
        <w:rPr>
          <w:rFonts w:ascii="宋体" w:hAnsi="宋体" w:eastAsia="宋体" w:cs="宋体"/>
          <w:color w:val="auto"/>
          <w:kern w:val="0"/>
          <w:sz w:val="24"/>
          <w:highlight w:val="none"/>
          <w:lang w:eastAsia="zh-Hans"/>
        </w:rPr>
        <w:t>4.配送要求</w:t>
      </w:r>
    </w:p>
    <w:p w14:paraId="3AFF09E7">
      <w:pPr>
        <w:widowControl/>
        <w:spacing w:line="440" w:lineRule="exact"/>
        <w:ind w:firstLine="240"/>
        <w:jc w:val="left"/>
        <w:rPr>
          <w:rFonts w:hint="eastAsia" w:eastAsia="宋体"/>
          <w:b/>
          <w:bCs/>
          <w:color w:val="auto"/>
          <w:kern w:val="0"/>
          <w:sz w:val="24"/>
          <w:highlight w:val="none"/>
          <w:lang w:eastAsia="zh-CN"/>
        </w:rPr>
      </w:pPr>
      <w:r>
        <w:rPr>
          <w:rFonts w:ascii="宋体" w:hAnsi="宋体" w:eastAsia="宋体" w:cs="宋体"/>
          <w:color w:val="auto"/>
          <w:kern w:val="0"/>
          <w:sz w:val="24"/>
          <w:highlight w:val="none"/>
          <w:lang w:eastAsia="zh-Hans"/>
        </w:rPr>
        <w:t>4.1中标人须派固定车辆和司机负责送货上门，在送货途中运输、保管所产生的费用由中标人承担。若交接前发生损毁的，其损失由中标人自行承担</w:t>
      </w:r>
      <w:r>
        <w:rPr>
          <w:rFonts w:hint="eastAsia" w:ascii="宋体" w:hAnsi="宋体" w:eastAsia="宋体" w:cs="宋体"/>
          <w:color w:val="auto"/>
          <w:kern w:val="0"/>
          <w:sz w:val="24"/>
          <w:highlight w:val="none"/>
          <w:lang w:eastAsia="zh-CN"/>
        </w:rPr>
        <w:t>。</w:t>
      </w:r>
      <w:r>
        <w:rPr>
          <w:rFonts w:ascii="宋体" w:hAnsi="宋体" w:eastAsia="宋体" w:cs="宋体"/>
          <w:b/>
          <w:bCs/>
          <w:color w:val="auto"/>
          <w:kern w:val="0"/>
          <w:sz w:val="24"/>
          <w:highlight w:val="none"/>
          <w:u w:val="single"/>
          <w:lang w:eastAsia="zh-Hans"/>
        </w:rPr>
        <w:t>（</w:t>
      </w:r>
      <w:r>
        <w:rPr>
          <w:rFonts w:hint="eastAsia" w:ascii="宋体" w:hAnsi="宋体" w:eastAsia="宋体" w:cs="宋体"/>
          <w:b/>
          <w:bCs/>
          <w:color w:val="auto"/>
          <w:kern w:val="0"/>
          <w:sz w:val="24"/>
          <w:highlight w:val="none"/>
          <w:u w:val="single"/>
        </w:rPr>
        <w:t>评</w:t>
      </w:r>
      <w:r>
        <w:rPr>
          <w:rFonts w:ascii="宋体" w:hAnsi="宋体" w:eastAsia="宋体" w:cs="宋体"/>
          <w:b/>
          <w:bCs/>
          <w:color w:val="auto"/>
          <w:kern w:val="0"/>
          <w:sz w:val="24"/>
          <w:highlight w:val="none"/>
          <w:u w:val="single"/>
          <w:lang w:eastAsia="zh-Hans"/>
        </w:rPr>
        <w:t>审项</w:t>
      </w:r>
      <w:r>
        <w:rPr>
          <w:rFonts w:hint="eastAsia" w:ascii="宋体" w:hAnsi="宋体" w:eastAsia="宋体" w:cs="宋体"/>
          <w:b/>
          <w:bCs/>
          <w:color w:val="auto"/>
          <w:kern w:val="0"/>
          <w:sz w:val="24"/>
          <w:highlight w:val="none"/>
          <w:u w:val="single"/>
          <w:lang w:val="en-US" w:eastAsia="zh-CN"/>
        </w:rPr>
        <w:t>2</w:t>
      </w:r>
      <w:r>
        <w:rPr>
          <w:rFonts w:ascii="宋体" w:hAnsi="宋体" w:eastAsia="宋体" w:cs="宋体"/>
          <w:b/>
          <w:bCs/>
          <w:color w:val="auto"/>
          <w:kern w:val="0"/>
          <w:sz w:val="24"/>
          <w:highlight w:val="none"/>
          <w:u w:val="single"/>
          <w:lang w:eastAsia="zh-Hans"/>
        </w:rPr>
        <w:t>）</w:t>
      </w:r>
    </w:p>
    <w:p w14:paraId="714FA4C9">
      <w:pPr>
        <w:widowControl/>
        <w:spacing w:line="440" w:lineRule="exact"/>
        <w:ind w:firstLine="240"/>
        <w:jc w:val="left"/>
        <w:rPr>
          <w:b/>
          <w:bCs/>
          <w:color w:val="auto"/>
          <w:kern w:val="0"/>
          <w:sz w:val="24"/>
          <w:highlight w:val="none"/>
          <w:lang w:eastAsia="zh-Hans"/>
        </w:rPr>
      </w:pPr>
      <w:r>
        <w:rPr>
          <w:rFonts w:ascii="宋体" w:hAnsi="宋体" w:eastAsia="宋体" w:cs="宋体"/>
          <w:color w:val="auto"/>
          <w:kern w:val="0"/>
          <w:sz w:val="24"/>
          <w:highlight w:val="none"/>
          <w:lang w:eastAsia="zh-Hans"/>
        </w:rPr>
        <w:t>4.2食品运输必须采用符合卫生标准的外包装和运载工具，并且要保持清洁和定期消毒。运输车厢的内仓，包括地面、墙面和顶，应使用抗腐蚀、防潮、易清洁消毒的材料。车厢内无不良气味、异味</w:t>
      </w:r>
      <w:r>
        <w:rPr>
          <w:rFonts w:ascii="宋体" w:hAnsi="宋体" w:eastAsia="宋体" w:cs="宋体"/>
          <w:b/>
          <w:bCs/>
          <w:color w:val="auto"/>
          <w:kern w:val="0"/>
          <w:sz w:val="24"/>
          <w:highlight w:val="none"/>
          <w:lang w:eastAsia="zh-Hans"/>
        </w:rPr>
        <w:t>。</w:t>
      </w:r>
      <w:r>
        <w:rPr>
          <w:rFonts w:ascii="宋体" w:hAnsi="宋体" w:eastAsia="宋体" w:cs="宋体"/>
          <w:b/>
          <w:bCs/>
          <w:color w:val="auto"/>
          <w:kern w:val="0"/>
          <w:sz w:val="24"/>
          <w:highlight w:val="none"/>
          <w:u w:val="single"/>
          <w:lang w:eastAsia="zh-Hans"/>
        </w:rPr>
        <w:t>（</w:t>
      </w:r>
      <w:r>
        <w:rPr>
          <w:rFonts w:hint="eastAsia" w:ascii="宋体" w:hAnsi="宋体" w:eastAsia="宋体" w:cs="宋体"/>
          <w:b/>
          <w:bCs/>
          <w:color w:val="auto"/>
          <w:kern w:val="0"/>
          <w:sz w:val="24"/>
          <w:highlight w:val="none"/>
          <w:u w:val="single"/>
        </w:rPr>
        <w:t>评</w:t>
      </w:r>
      <w:r>
        <w:rPr>
          <w:rFonts w:ascii="宋体" w:hAnsi="宋体" w:eastAsia="宋体" w:cs="宋体"/>
          <w:b/>
          <w:bCs/>
          <w:color w:val="auto"/>
          <w:kern w:val="0"/>
          <w:sz w:val="24"/>
          <w:highlight w:val="none"/>
          <w:u w:val="single"/>
          <w:lang w:eastAsia="zh-Hans"/>
        </w:rPr>
        <w:t>审项</w:t>
      </w:r>
      <w:r>
        <w:rPr>
          <w:rFonts w:hint="eastAsia" w:ascii="宋体" w:hAnsi="宋体" w:eastAsia="宋体" w:cs="宋体"/>
          <w:b/>
          <w:bCs/>
          <w:color w:val="auto"/>
          <w:kern w:val="0"/>
          <w:sz w:val="24"/>
          <w:highlight w:val="none"/>
          <w:u w:val="single"/>
          <w:lang w:val="en-US" w:eastAsia="zh-CN"/>
        </w:rPr>
        <w:t>3</w:t>
      </w:r>
      <w:r>
        <w:rPr>
          <w:rFonts w:ascii="宋体" w:hAnsi="宋体" w:eastAsia="宋体" w:cs="宋体"/>
          <w:b/>
          <w:bCs/>
          <w:color w:val="auto"/>
          <w:kern w:val="0"/>
          <w:sz w:val="24"/>
          <w:highlight w:val="none"/>
          <w:u w:val="single"/>
          <w:lang w:eastAsia="zh-Hans"/>
        </w:rPr>
        <w:t>）</w:t>
      </w:r>
    </w:p>
    <w:p w14:paraId="46628179">
      <w:pPr>
        <w:widowControl/>
        <w:shd w:val="clear" w:fill="FFFFFF" w:themeFill="background1"/>
        <w:spacing w:line="440" w:lineRule="exact"/>
        <w:ind w:firstLine="240"/>
        <w:jc w:val="left"/>
        <w:rPr>
          <w:rFonts w:hint="eastAsia" w:ascii="宋体" w:hAnsi="宋体" w:eastAsia="宋体" w:cs="宋体"/>
          <w:color w:val="auto"/>
          <w:kern w:val="0"/>
          <w:sz w:val="24"/>
          <w:highlight w:val="none"/>
          <w:shd w:val="clear" w:fill="FFFFFF" w:themeFill="background1"/>
          <w:lang w:eastAsia="zh-Hans"/>
        </w:rPr>
      </w:pPr>
      <w:r>
        <w:rPr>
          <w:rFonts w:ascii="宋体" w:hAnsi="宋体" w:eastAsia="宋体" w:cs="宋体"/>
          <w:color w:val="auto"/>
          <w:kern w:val="0"/>
          <w:sz w:val="24"/>
          <w:highlight w:val="none"/>
          <w:shd w:val="clear"/>
          <w:lang w:eastAsia="zh-Hans"/>
        </w:rPr>
        <w:t>★</w:t>
      </w:r>
      <w:r>
        <w:rPr>
          <w:rFonts w:ascii="宋体" w:hAnsi="宋体" w:eastAsia="宋体" w:cs="宋体"/>
          <w:b/>
          <w:color w:val="auto"/>
          <w:kern w:val="0"/>
          <w:sz w:val="24"/>
          <w:highlight w:val="none"/>
          <w:shd w:val="clear"/>
          <w:lang w:eastAsia="zh-Hans"/>
        </w:rPr>
        <w:t>投标人承诺：</w:t>
      </w:r>
      <w:r>
        <w:rPr>
          <w:rFonts w:ascii="宋体" w:hAnsi="宋体" w:eastAsia="宋体" w:cs="宋体"/>
          <w:color w:val="auto"/>
          <w:kern w:val="0"/>
          <w:sz w:val="24"/>
          <w:highlight w:val="none"/>
          <w:shd w:val="clear"/>
          <w:lang w:eastAsia="zh-Hans"/>
        </w:rPr>
        <w:t>4.3</w:t>
      </w:r>
      <w:r>
        <w:rPr>
          <w:rFonts w:hint="eastAsia" w:ascii="宋体" w:hAnsi="宋体" w:eastAsia="宋体" w:cs="宋体"/>
          <w:color w:val="auto"/>
          <w:kern w:val="0"/>
          <w:sz w:val="24"/>
          <w:highlight w:val="none"/>
          <w:shd w:val="clear"/>
          <w:lang w:eastAsia="zh-Hans"/>
        </w:rPr>
        <w:t>冷藏、冷冻食品必须使用专用冷藏、冷冻载具运输，配备完善保温温控设备，全程维持食品安全储运温度，并实时监控</w:t>
      </w:r>
      <w:r>
        <w:rPr>
          <w:rFonts w:hint="eastAsia" w:ascii="宋体" w:hAnsi="宋体" w:eastAsia="宋体" w:cs="宋体"/>
          <w:color w:val="auto"/>
          <w:kern w:val="0"/>
          <w:sz w:val="24"/>
          <w:highlight w:val="none"/>
          <w:shd w:val="clear"/>
          <w:lang w:val="en-US" w:eastAsia="zh-CN"/>
        </w:rPr>
        <w:t>供货商的配送中心至学校</w:t>
      </w:r>
      <w:r>
        <w:rPr>
          <w:rFonts w:hint="eastAsia" w:ascii="宋体" w:hAnsi="宋体" w:eastAsia="宋体" w:cs="宋体"/>
          <w:color w:val="auto"/>
          <w:kern w:val="0"/>
          <w:sz w:val="24"/>
          <w:highlight w:val="none"/>
          <w:shd w:val="clear"/>
          <w:lang w:eastAsia="zh-Hans"/>
        </w:rPr>
        <w:t>运输全过程温度数据；车载物联网设备数据同步对接泰宁县营养改善计划监管平台、福建省农村义务教育学生营养改善计划</w:t>
      </w:r>
      <w:r>
        <w:rPr>
          <w:rFonts w:hint="eastAsia" w:ascii="宋体" w:hAnsi="宋体" w:eastAsia="宋体" w:cs="宋体"/>
          <w:color w:val="auto"/>
          <w:kern w:val="0"/>
          <w:sz w:val="24"/>
          <w:highlight w:val="none"/>
          <w:shd w:val="clear" w:fill="FFFFFF" w:themeFill="background1"/>
          <w:lang w:eastAsia="zh-Hans"/>
        </w:rPr>
        <w:t>监管平台</w:t>
      </w:r>
      <w:r>
        <w:rPr>
          <w:rFonts w:hint="eastAsia" w:ascii="宋体" w:hAnsi="宋体" w:eastAsia="宋体" w:cs="宋体"/>
          <w:color w:val="auto"/>
          <w:kern w:val="0"/>
          <w:sz w:val="24"/>
          <w:highlight w:val="none"/>
          <w:shd w:val="clear" w:fill="FFFFFF" w:themeFill="background1"/>
          <w:lang w:val="en-US" w:eastAsia="zh-CN"/>
        </w:rPr>
        <w:t>，</w:t>
      </w:r>
      <w:r>
        <w:rPr>
          <w:rFonts w:hint="eastAsia" w:ascii="宋体" w:hAnsi="宋体" w:eastAsia="宋体" w:cs="宋体"/>
          <w:color w:val="auto"/>
          <w:kern w:val="0"/>
          <w:sz w:val="24"/>
          <w:highlight w:val="none"/>
          <w:shd w:val="clear" w:fill="FFFFFF" w:themeFill="background1"/>
          <w:lang w:eastAsia="zh-Hans"/>
        </w:rPr>
        <w:t>实现营养餐冷链全链条闭环监管。针对长途运输食品，须持续保障全程温度稳定在标准区间；冷藏食品脱离冷链累计时长不得超过 20 分钟，冷冻食品脱离冷链累计时长不得超过 30 分钟。</w:t>
      </w:r>
    </w:p>
    <w:p w14:paraId="7E2BD8DF">
      <w:pPr>
        <w:widowControl/>
        <w:shd w:val="clear" w:fill="FFFFFF" w:themeFill="background1"/>
        <w:spacing w:line="440" w:lineRule="exact"/>
        <w:jc w:val="left"/>
        <w:rPr>
          <w:rFonts w:hint="eastAsia" w:ascii="宋体" w:hAnsi="宋体" w:eastAsia="宋体" w:cs="宋体"/>
          <w:color w:val="auto"/>
          <w:kern w:val="0"/>
          <w:sz w:val="24"/>
          <w:highlight w:val="none"/>
          <w:u w:val="single"/>
          <w:shd w:val="clear" w:fill="FFFFFF" w:themeFill="background1"/>
          <w:lang w:eastAsia="zh-Hans"/>
        </w:rPr>
      </w:pPr>
      <w:r>
        <w:rPr>
          <w:rFonts w:hint="eastAsia" w:ascii="宋体" w:hAnsi="宋体" w:eastAsia="宋体" w:cs="宋体"/>
          <w:b/>
          <w:bCs/>
          <w:color w:val="auto"/>
          <w:kern w:val="0"/>
          <w:sz w:val="24"/>
          <w:highlight w:val="none"/>
          <w:u w:val="single"/>
          <w:shd w:val="clear" w:fill="FFFFFF" w:themeFill="background1"/>
          <w:lang w:val="en-US" w:eastAsia="zh-CN"/>
        </w:rPr>
        <w:t>注(对接平台费用:2025年度点餐系统壹年租赁平台费用为29800元;车载监控平台买断费用约为9800元或壹年租赁费用约为5000元;以上费用仅供参考，具体金额自行与系统运营商协商，投标人须将该费用纳入投标报价内。)</w:t>
      </w:r>
    </w:p>
    <w:p w14:paraId="3A836E7A">
      <w:pPr>
        <w:widowControl/>
        <w:shd w:val="clear" w:fill="FFFFFF" w:themeFill="background1"/>
        <w:spacing w:line="440" w:lineRule="exact"/>
        <w:ind w:firstLine="240"/>
        <w:jc w:val="left"/>
        <w:rPr>
          <w:b/>
          <w:bCs/>
          <w:color w:val="auto"/>
          <w:kern w:val="0"/>
          <w:sz w:val="24"/>
          <w:highlight w:val="none"/>
          <w:lang w:eastAsia="zh-Hans"/>
        </w:rPr>
      </w:pPr>
      <w:r>
        <w:rPr>
          <w:rFonts w:ascii="宋体" w:hAnsi="宋体" w:eastAsia="宋体" w:cs="宋体"/>
          <w:color w:val="auto"/>
          <w:kern w:val="0"/>
          <w:sz w:val="24"/>
          <w:highlight w:val="none"/>
          <w:lang w:eastAsia="zh-Hans"/>
        </w:rPr>
        <w:t>4.4</w:t>
      </w:r>
      <w:r>
        <w:rPr>
          <w:rFonts w:hint="eastAsia" w:ascii="宋体" w:hAnsi="宋体" w:eastAsia="宋体" w:cs="宋体"/>
          <w:color w:val="auto"/>
          <w:kern w:val="0"/>
          <w:sz w:val="24"/>
          <w:highlight w:val="none"/>
          <w:lang w:eastAsia="zh-Hans"/>
        </w:rPr>
        <w:t>对送货车辆的定期消毒制度，避免在运输过程中导致交叉感染，使所需物资安全性出现问题。送货车辆应保持清洁，食品堆放科学合理，避免造成食品的交叉污染。</w:t>
      </w:r>
      <w:r>
        <w:rPr>
          <w:rFonts w:ascii="宋体" w:hAnsi="宋体" w:eastAsia="宋体" w:cs="宋体"/>
          <w:b/>
          <w:bCs/>
          <w:color w:val="auto"/>
          <w:kern w:val="0"/>
          <w:sz w:val="24"/>
          <w:highlight w:val="none"/>
          <w:u w:val="single"/>
          <w:lang w:eastAsia="zh-Hans"/>
        </w:rPr>
        <w:t>（</w:t>
      </w:r>
      <w:r>
        <w:rPr>
          <w:rFonts w:hint="eastAsia" w:ascii="宋体" w:hAnsi="宋体" w:eastAsia="宋体" w:cs="宋体"/>
          <w:b/>
          <w:bCs/>
          <w:color w:val="auto"/>
          <w:kern w:val="0"/>
          <w:sz w:val="24"/>
          <w:highlight w:val="none"/>
          <w:u w:val="single"/>
        </w:rPr>
        <w:t>评</w:t>
      </w:r>
      <w:r>
        <w:rPr>
          <w:rFonts w:ascii="宋体" w:hAnsi="宋体" w:eastAsia="宋体" w:cs="宋体"/>
          <w:b/>
          <w:bCs/>
          <w:color w:val="auto"/>
          <w:kern w:val="0"/>
          <w:sz w:val="24"/>
          <w:highlight w:val="none"/>
          <w:u w:val="single"/>
          <w:lang w:eastAsia="zh-Hans"/>
        </w:rPr>
        <w:t>审项</w:t>
      </w:r>
      <w:r>
        <w:rPr>
          <w:rFonts w:hint="eastAsia" w:ascii="宋体" w:hAnsi="宋体" w:eastAsia="宋体" w:cs="宋体"/>
          <w:b/>
          <w:bCs/>
          <w:color w:val="auto"/>
          <w:kern w:val="0"/>
          <w:sz w:val="24"/>
          <w:highlight w:val="none"/>
          <w:u w:val="single"/>
          <w:lang w:val="en-US" w:eastAsia="zh-CN"/>
        </w:rPr>
        <w:t>4</w:t>
      </w:r>
      <w:r>
        <w:rPr>
          <w:rFonts w:ascii="宋体" w:hAnsi="宋体" w:eastAsia="宋体" w:cs="宋体"/>
          <w:b/>
          <w:bCs/>
          <w:color w:val="auto"/>
          <w:kern w:val="0"/>
          <w:sz w:val="24"/>
          <w:highlight w:val="none"/>
          <w:u w:val="single"/>
          <w:lang w:eastAsia="zh-Hans"/>
        </w:rPr>
        <w:t>）</w:t>
      </w:r>
    </w:p>
    <w:p w14:paraId="16A0A502">
      <w:pPr>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ascii="宋体" w:hAnsi="宋体" w:eastAsia="宋体" w:cs="宋体"/>
          <w:b/>
          <w:bCs/>
          <w:color w:val="auto"/>
          <w:kern w:val="0"/>
          <w:sz w:val="24"/>
          <w:highlight w:val="none"/>
          <w:u w:val="single"/>
          <w:lang w:eastAsia="zh-Hans"/>
        </w:rPr>
      </w:pPr>
      <w:r>
        <w:rPr>
          <w:rFonts w:ascii="宋体" w:hAnsi="宋体" w:eastAsia="宋体" w:cs="宋体"/>
          <w:color w:val="auto"/>
          <w:kern w:val="0"/>
          <w:sz w:val="24"/>
          <w:highlight w:val="none"/>
          <w:lang w:eastAsia="zh-Hans"/>
        </w:rPr>
        <w:t>4.5中标人在配送货品中必须提供相关的有效票据和凭证，货物送达后，由双方共同对货品的质量、数量进行验收，对质量数量核对准确无误后，双方签字后各自留存。中标人必需提供每次供应物资必要品种的检疫检测报告、等证明材料。食品应清洁，并符合企业相关验收标准，食品应无损伤、腐烂现象、无寄生虫或已受虫害现象，对温度有要求的食品应确定食品的温度与包装上指示温度一致。验收合格后，由双方共同在送货单上签字确认，以此作为结算的依据，否则视为无效供货。验收不合格的，采购人有权拒收，中标人应按照要求予以退货，换货，由此给采购人造成损失的，应赔偿相应损失并承担违约责任。</w:t>
      </w:r>
      <w:r>
        <w:rPr>
          <w:rFonts w:ascii="宋体" w:hAnsi="宋体" w:eastAsia="宋体" w:cs="宋体"/>
          <w:b/>
          <w:bCs/>
          <w:color w:val="auto"/>
          <w:kern w:val="0"/>
          <w:sz w:val="24"/>
          <w:highlight w:val="none"/>
          <w:u w:val="single"/>
          <w:lang w:eastAsia="zh-Hans"/>
        </w:rPr>
        <w:t>（</w:t>
      </w:r>
      <w:r>
        <w:rPr>
          <w:rFonts w:hint="eastAsia" w:ascii="宋体" w:hAnsi="宋体" w:eastAsia="宋体" w:cs="宋体"/>
          <w:b/>
          <w:bCs/>
          <w:color w:val="auto"/>
          <w:kern w:val="0"/>
          <w:sz w:val="24"/>
          <w:highlight w:val="none"/>
          <w:u w:val="single"/>
        </w:rPr>
        <w:t>评</w:t>
      </w:r>
      <w:r>
        <w:rPr>
          <w:rFonts w:ascii="宋体" w:hAnsi="宋体" w:eastAsia="宋体" w:cs="宋体"/>
          <w:b/>
          <w:bCs/>
          <w:color w:val="auto"/>
          <w:kern w:val="0"/>
          <w:sz w:val="24"/>
          <w:highlight w:val="none"/>
          <w:u w:val="single"/>
          <w:lang w:eastAsia="zh-Hans"/>
        </w:rPr>
        <w:t>审项</w:t>
      </w:r>
      <w:r>
        <w:rPr>
          <w:rFonts w:hint="eastAsia" w:ascii="宋体" w:hAnsi="宋体" w:eastAsia="宋体" w:cs="宋体"/>
          <w:b/>
          <w:bCs/>
          <w:color w:val="auto"/>
          <w:kern w:val="0"/>
          <w:sz w:val="24"/>
          <w:highlight w:val="none"/>
          <w:u w:val="single"/>
          <w:lang w:val="en-US" w:eastAsia="zh-CN"/>
        </w:rPr>
        <w:t>5</w:t>
      </w:r>
      <w:r>
        <w:rPr>
          <w:rFonts w:ascii="宋体" w:hAnsi="宋体" w:eastAsia="宋体" w:cs="宋体"/>
          <w:b/>
          <w:bCs/>
          <w:color w:val="auto"/>
          <w:kern w:val="0"/>
          <w:sz w:val="24"/>
          <w:highlight w:val="none"/>
          <w:u w:val="single"/>
          <w:lang w:eastAsia="zh-Hans"/>
        </w:rPr>
        <w:t>）</w:t>
      </w:r>
    </w:p>
    <w:p w14:paraId="7C6EC31A">
      <w:pPr>
        <w:pStyle w:val="3"/>
        <w:keepNext w:val="0"/>
        <w:keepLines w:val="0"/>
        <w:pageBreakBefore w:val="0"/>
        <w:kinsoku/>
        <w:wordWrap/>
        <w:overflowPunct/>
        <w:topLinePunct w:val="0"/>
        <w:autoSpaceDE/>
        <w:autoSpaceDN/>
        <w:bidi w:val="0"/>
        <w:adjustRightInd/>
        <w:snapToGrid/>
        <w:spacing w:line="360" w:lineRule="auto"/>
        <w:textAlignment w:val="auto"/>
        <w:rPr>
          <w:rFonts w:ascii="宋体" w:hAnsi="宋体" w:eastAsia="宋体" w:cs="宋体"/>
          <w:b w:val="0"/>
          <w:bCs w:val="0"/>
          <w:color w:val="auto"/>
          <w:kern w:val="0"/>
          <w:sz w:val="24"/>
          <w:szCs w:val="24"/>
          <w:highlight w:val="none"/>
          <w:u w:val="single"/>
          <w:lang w:val="en-US" w:eastAsia="zh-Hans" w:bidi="ar-SA"/>
        </w:rPr>
      </w:pPr>
      <w:r>
        <w:rPr>
          <w:rFonts w:hint="eastAsia" w:ascii="宋体" w:hAnsi="宋体" w:eastAsia="宋体" w:cs="宋体"/>
          <w:b w:val="0"/>
          <w:bCs w:val="0"/>
          <w:color w:val="auto"/>
          <w:kern w:val="0"/>
          <w:sz w:val="24"/>
          <w:szCs w:val="24"/>
          <w:highlight w:val="none"/>
          <w:lang w:val="en-US" w:eastAsia="zh-CN" w:bidi="ar-SA"/>
        </w:rPr>
        <w:t>5.</w:t>
      </w:r>
      <w:r>
        <w:rPr>
          <w:rFonts w:hint="default" w:ascii="宋体" w:hAnsi="宋体" w:eastAsia="宋体" w:cs="宋体"/>
          <w:b w:val="0"/>
          <w:bCs w:val="0"/>
          <w:color w:val="auto"/>
          <w:kern w:val="0"/>
          <w:sz w:val="24"/>
          <w:szCs w:val="24"/>
          <w:highlight w:val="none"/>
          <w:lang w:val="en-US" w:eastAsia="zh-CN" w:bidi="ar-SA"/>
        </w:rPr>
        <w:t>配送人员</w:t>
      </w:r>
      <w:r>
        <w:rPr>
          <w:rFonts w:hint="eastAsia" w:ascii="宋体" w:hAnsi="宋体" w:eastAsia="宋体" w:cs="宋体"/>
          <w:b w:val="0"/>
          <w:bCs w:val="0"/>
          <w:color w:val="auto"/>
          <w:kern w:val="0"/>
          <w:sz w:val="24"/>
          <w:szCs w:val="24"/>
          <w:highlight w:val="none"/>
          <w:lang w:val="en-US" w:eastAsia="zh-CN" w:bidi="ar-SA"/>
        </w:rPr>
        <w:t>。</w:t>
      </w:r>
      <w:r>
        <w:rPr>
          <w:rFonts w:hint="default" w:ascii="宋体" w:hAnsi="宋体" w:eastAsia="宋体" w:cs="宋体"/>
          <w:b w:val="0"/>
          <w:bCs w:val="0"/>
          <w:color w:val="auto"/>
          <w:kern w:val="0"/>
          <w:sz w:val="24"/>
          <w:szCs w:val="24"/>
          <w:highlight w:val="none"/>
          <w:lang w:val="en-US" w:eastAsia="zh-CN" w:bidi="ar-SA"/>
        </w:rPr>
        <w:t>投标人配备≥20名稳定的专职配送人员，其中稳定的司机≥3名</w:t>
      </w:r>
      <w:r>
        <w:rPr>
          <w:rFonts w:hint="eastAsia" w:ascii="宋体" w:hAnsi="宋体" w:eastAsia="宋体" w:cs="宋体"/>
          <w:b w:val="0"/>
          <w:bCs w:val="0"/>
          <w:color w:val="auto"/>
          <w:kern w:val="0"/>
          <w:sz w:val="24"/>
          <w:szCs w:val="24"/>
          <w:highlight w:val="none"/>
          <w:lang w:val="en-US" w:eastAsia="zh-CN" w:bidi="ar-SA"/>
        </w:rPr>
        <w:t>（提供专项承诺函并提供投标人为其所缴纳的投标截止时间前六个月（不含投标截止时间的当月）中任一一个月的社保证明佐证及司机的驾驶证复印件并加盖公章）。</w:t>
      </w:r>
      <w:r>
        <w:rPr>
          <w:rFonts w:ascii="宋体" w:hAnsi="宋体" w:eastAsia="宋体" w:cs="宋体"/>
          <w:b/>
          <w:bCs/>
          <w:color w:val="auto"/>
          <w:kern w:val="0"/>
          <w:sz w:val="24"/>
          <w:szCs w:val="24"/>
          <w:highlight w:val="none"/>
          <w:u w:val="single"/>
          <w:lang w:val="en-US" w:eastAsia="zh-Hans" w:bidi="ar-SA"/>
        </w:rPr>
        <w:t>（</w:t>
      </w:r>
      <w:r>
        <w:rPr>
          <w:rFonts w:hint="eastAsia" w:ascii="宋体" w:hAnsi="宋体" w:eastAsia="宋体" w:cs="宋体"/>
          <w:b/>
          <w:bCs/>
          <w:color w:val="auto"/>
          <w:kern w:val="0"/>
          <w:sz w:val="24"/>
          <w:szCs w:val="24"/>
          <w:highlight w:val="none"/>
          <w:u w:val="single"/>
          <w:lang w:val="en-US" w:eastAsia="zh-Hans" w:bidi="ar-SA"/>
        </w:rPr>
        <w:t>评</w:t>
      </w:r>
      <w:r>
        <w:rPr>
          <w:rFonts w:ascii="宋体" w:hAnsi="宋体" w:eastAsia="宋体" w:cs="宋体"/>
          <w:b/>
          <w:bCs/>
          <w:color w:val="auto"/>
          <w:kern w:val="0"/>
          <w:sz w:val="24"/>
          <w:szCs w:val="24"/>
          <w:highlight w:val="none"/>
          <w:u w:val="single"/>
          <w:lang w:val="en-US" w:eastAsia="zh-Hans" w:bidi="ar-SA"/>
        </w:rPr>
        <w:t>审项</w:t>
      </w:r>
      <w:r>
        <w:rPr>
          <w:rFonts w:hint="eastAsia" w:ascii="宋体" w:hAnsi="宋体" w:eastAsia="宋体" w:cs="宋体"/>
          <w:b/>
          <w:bCs/>
          <w:color w:val="auto"/>
          <w:kern w:val="0"/>
          <w:sz w:val="24"/>
          <w:szCs w:val="24"/>
          <w:highlight w:val="none"/>
          <w:u w:val="single"/>
          <w:lang w:val="en-US" w:eastAsia="zh-CN" w:bidi="ar-SA"/>
        </w:rPr>
        <w:t>6</w:t>
      </w:r>
      <w:r>
        <w:rPr>
          <w:rFonts w:ascii="宋体" w:hAnsi="宋体" w:eastAsia="宋体" w:cs="宋体"/>
          <w:b/>
          <w:bCs/>
          <w:color w:val="auto"/>
          <w:kern w:val="0"/>
          <w:sz w:val="24"/>
          <w:szCs w:val="24"/>
          <w:highlight w:val="none"/>
          <w:u w:val="single"/>
          <w:lang w:val="en-US" w:eastAsia="zh-Hans" w:bidi="ar-SA"/>
        </w:rPr>
        <w:t>）</w:t>
      </w:r>
    </w:p>
    <w:p w14:paraId="27AFB0C2">
      <w:pPr>
        <w:pStyle w:val="8"/>
        <w:keepNext w:val="0"/>
        <w:keepLines w:val="0"/>
        <w:pageBreakBefore w:val="0"/>
        <w:kinsoku/>
        <w:wordWrap/>
        <w:overflowPunct/>
        <w:topLinePunct w:val="0"/>
        <w:autoSpaceDE/>
        <w:autoSpaceDN/>
        <w:bidi w:val="0"/>
        <w:adjustRightInd/>
        <w:snapToGrid/>
        <w:spacing w:line="360" w:lineRule="auto"/>
        <w:textAlignment w:val="auto"/>
        <w:rPr>
          <w:rFonts w:ascii="宋体" w:hAnsi="宋体" w:eastAsia="宋体" w:cs="宋体"/>
          <w:b/>
          <w:bCs/>
          <w:color w:val="auto"/>
          <w:kern w:val="0"/>
          <w:sz w:val="24"/>
          <w:highlight w:val="none"/>
          <w:lang w:eastAsia="zh-Hans"/>
        </w:rPr>
      </w:pPr>
      <w:r>
        <w:rPr>
          <w:rFonts w:ascii="宋体" w:hAnsi="宋体" w:eastAsia="宋体" w:cs="宋体"/>
          <w:color w:val="auto"/>
          <w:kern w:val="0"/>
          <w:sz w:val="24"/>
          <w:highlight w:val="none"/>
          <w:lang w:eastAsia="zh-Hans"/>
        </w:rPr>
        <w:t>★</w:t>
      </w:r>
      <w:r>
        <w:rPr>
          <w:rFonts w:hint="eastAsia" w:ascii="宋体" w:hAnsi="宋体" w:eastAsia="宋体" w:cs="宋体"/>
          <w:color w:val="auto"/>
          <w:kern w:val="0"/>
          <w:sz w:val="24"/>
          <w:highlight w:val="none"/>
          <w:lang w:eastAsia="zh-Hans"/>
        </w:rPr>
        <w:t>6.</w:t>
      </w:r>
      <w:r>
        <w:rPr>
          <w:rFonts w:ascii="宋体" w:hAnsi="宋体" w:eastAsia="宋体" w:cs="宋体"/>
          <w:color w:val="auto"/>
          <w:kern w:val="0"/>
          <w:sz w:val="24"/>
          <w:highlight w:val="none"/>
          <w:lang w:eastAsia="zh-Hans"/>
        </w:rPr>
        <w:t xml:space="preserve"> </w:t>
      </w:r>
      <w:r>
        <w:rPr>
          <w:rFonts w:ascii="宋体" w:hAnsi="宋体" w:eastAsia="宋体" w:cs="宋体"/>
          <w:b/>
          <w:bCs/>
          <w:color w:val="auto"/>
          <w:kern w:val="0"/>
          <w:sz w:val="24"/>
          <w:highlight w:val="none"/>
          <w:lang w:eastAsia="zh-Hans"/>
        </w:rPr>
        <w:t>投</w:t>
      </w:r>
      <w:r>
        <w:rPr>
          <w:rFonts w:hint="default" w:ascii="宋体" w:hAnsi="宋体" w:eastAsia="宋体" w:cs="宋体"/>
          <w:b/>
          <w:bCs/>
          <w:color w:val="auto"/>
          <w:kern w:val="0"/>
          <w:sz w:val="24"/>
          <w:highlight w:val="none"/>
          <w:lang w:val="en-US" w:eastAsia="zh-Hans"/>
        </w:rPr>
        <w:t>标人承诺：</w:t>
      </w:r>
      <w:r>
        <w:rPr>
          <w:rFonts w:hint="default" w:ascii="宋体" w:hAnsi="宋体" w:eastAsia="宋体" w:cs="宋体"/>
          <w:color w:val="auto"/>
          <w:kern w:val="0"/>
          <w:sz w:val="24"/>
          <w:highlight w:val="none"/>
          <w:lang w:val="en-US" w:eastAsia="zh-CN"/>
        </w:rPr>
        <w:t>投标人</w:t>
      </w:r>
      <w:r>
        <w:rPr>
          <w:rFonts w:hint="eastAsia" w:ascii="宋体" w:hAnsi="宋体" w:eastAsia="宋体" w:cs="宋体"/>
          <w:color w:val="auto"/>
          <w:kern w:val="0"/>
          <w:sz w:val="24"/>
          <w:highlight w:val="none"/>
          <w:lang w:val="en-US" w:eastAsia="zh-CN"/>
        </w:rPr>
        <w:t>应</w:t>
      </w:r>
      <w:r>
        <w:rPr>
          <w:rFonts w:hint="default" w:ascii="宋体" w:hAnsi="宋体" w:eastAsia="宋体" w:cs="宋体"/>
          <w:color w:val="auto"/>
          <w:kern w:val="0"/>
          <w:sz w:val="24"/>
          <w:highlight w:val="none"/>
          <w:lang w:val="en-US" w:eastAsia="zh-CN"/>
        </w:rPr>
        <w:t>具备学校下单、商品管理、订单管理、订单报表、配送管理、食谱管理、资金管理、食材检测、相关许可文件等全模块功能的食材配送系统，并承诺配送系统订单数据接入福建省农村义务教育学生营养改善计划监管平台</w:t>
      </w:r>
      <w:r>
        <w:rPr>
          <w:rFonts w:hint="eastAsia" w:ascii="宋体" w:hAnsi="宋体" w:eastAsia="宋体" w:cs="宋体"/>
          <w:color w:val="auto"/>
          <w:kern w:val="0"/>
          <w:sz w:val="24"/>
          <w:highlight w:val="none"/>
          <w:lang w:val="en-US" w:eastAsia="zh-CN"/>
        </w:rPr>
        <w:t>（付费），</w:t>
      </w:r>
      <w:r>
        <w:rPr>
          <w:rFonts w:hint="default" w:ascii="宋体" w:hAnsi="宋体" w:eastAsia="宋体" w:cs="宋体"/>
          <w:color w:val="auto"/>
          <w:kern w:val="0"/>
          <w:sz w:val="24"/>
          <w:highlight w:val="none"/>
          <w:lang w:val="en-US" w:eastAsia="zh-CN"/>
        </w:rPr>
        <w:t>满足教育局监管要求</w:t>
      </w:r>
      <w:r>
        <w:rPr>
          <w:rFonts w:hint="eastAsia" w:ascii="宋体" w:hAnsi="宋体" w:eastAsia="宋体" w:cs="宋体"/>
          <w:color w:val="auto"/>
          <w:kern w:val="0"/>
          <w:sz w:val="24"/>
          <w:highlight w:val="none"/>
          <w:lang w:val="en-US" w:eastAsia="zh-CN"/>
        </w:rPr>
        <w:t>；同时承诺若中标后须加入福建省食品生产经营追溯管理系统。</w:t>
      </w:r>
      <w:r>
        <w:rPr>
          <w:rFonts w:hint="eastAsia" w:ascii="宋体" w:hAnsi="宋体" w:eastAsia="宋体" w:cs="宋体"/>
          <w:b/>
          <w:bCs/>
          <w:color w:val="auto"/>
          <w:kern w:val="0"/>
          <w:sz w:val="24"/>
          <w:highlight w:val="none"/>
          <w:lang w:val="en-US" w:eastAsia="zh-CN"/>
        </w:rPr>
        <w:t>提供专项承诺函（格式自拟）</w:t>
      </w:r>
      <w:r>
        <w:rPr>
          <w:rFonts w:hint="default" w:ascii="宋体" w:hAnsi="宋体" w:eastAsia="宋体" w:cs="宋体"/>
          <w:b/>
          <w:bCs/>
          <w:color w:val="auto"/>
          <w:kern w:val="0"/>
          <w:sz w:val="24"/>
          <w:highlight w:val="none"/>
          <w:lang w:val="en-US" w:eastAsia="zh-CN"/>
        </w:rPr>
        <w:t>。</w:t>
      </w:r>
    </w:p>
    <w:p w14:paraId="4654DBDE">
      <w:pPr>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color w:val="auto"/>
          <w:kern w:val="0"/>
          <w:sz w:val="24"/>
          <w:highlight w:val="none"/>
          <w:lang w:eastAsia="zh-Hans"/>
        </w:rPr>
      </w:pPr>
      <w:r>
        <w:rPr>
          <w:rFonts w:hint="eastAsia" w:ascii="宋体" w:hAnsi="宋体" w:eastAsia="宋体" w:cs="宋体"/>
          <w:color w:val="auto"/>
          <w:kern w:val="0"/>
          <w:sz w:val="24"/>
          <w:highlight w:val="none"/>
        </w:rPr>
        <w:t>7.</w:t>
      </w:r>
      <w:r>
        <w:rPr>
          <w:rFonts w:ascii="宋体" w:hAnsi="宋体" w:eastAsia="宋体" w:cs="宋体"/>
          <w:color w:val="auto"/>
          <w:kern w:val="0"/>
          <w:sz w:val="24"/>
          <w:highlight w:val="none"/>
          <w:lang w:eastAsia="zh-Hans"/>
        </w:rPr>
        <w:t>中标人提供的所有货物，如出现变质、损坏等情况，中标人应无偿给予更换。采购方学生食用中标人提供的食材后，如发生不良反应，中标人应立即派人员赶赴现场，采购方须督促相关部门配合中标人在第一时间了解情况，消除不良影响。如有调查确实是因为中标人提供的物资问题，一切后果由中标人负责。</w:t>
      </w:r>
      <w:r>
        <w:rPr>
          <w:rFonts w:ascii="宋体" w:hAnsi="宋体" w:eastAsia="宋体" w:cs="宋体"/>
          <w:b/>
          <w:bCs/>
          <w:color w:val="auto"/>
          <w:kern w:val="0"/>
          <w:sz w:val="24"/>
          <w:highlight w:val="none"/>
          <w:u w:val="single"/>
          <w:lang w:eastAsia="zh-Hans"/>
        </w:rPr>
        <w:t>（</w:t>
      </w:r>
      <w:r>
        <w:rPr>
          <w:rFonts w:hint="eastAsia" w:ascii="宋体" w:hAnsi="宋体" w:eastAsia="宋体" w:cs="宋体"/>
          <w:b/>
          <w:bCs/>
          <w:color w:val="auto"/>
          <w:kern w:val="0"/>
          <w:sz w:val="24"/>
          <w:highlight w:val="none"/>
          <w:u w:val="single"/>
        </w:rPr>
        <w:t>评</w:t>
      </w:r>
      <w:r>
        <w:rPr>
          <w:rFonts w:ascii="宋体" w:hAnsi="宋体" w:eastAsia="宋体" w:cs="宋体"/>
          <w:b/>
          <w:bCs/>
          <w:color w:val="auto"/>
          <w:kern w:val="0"/>
          <w:sz w:val="24"/>
          <w:highlight w:val="none"/>
          <w:u w:val="single"/>
          <w:lang w:eastAsia="zh-Hans"/>
        </w:rPr>
        <w:t>审项</w:t>
      </w:r>
      <w:r>
        <w:rPr>
          <w:rFonts w:hint="eastAsia" w:ascii="宋体" w:hAnsi="宋体" w:eastAsia="宋体" w:cs="宋体"/>
          <w:b/>
          <w:bCs/>
          <w:color w:val="auto"/>
          <w:kern w:val="0"/>
          <w:sz w:val="24"/>
          <w:highlight w:val="none"/>
          <w:u w:val="single"/>
          <w:lang w:val="en-US" w:eastAsia="zh-CN"/>
        </w:rPr>
        <w:t>7</w:t>
      </w:r>
      <w:r>
        <w:rPr>
          <w:rFonts w:ascii="宋体" w:hAnsi="宋体" w:eastAsia="宋体" w:cs="宋体"/>
          <w:b/>
          <w:bCs/>
          <w:color w:val="auto"/>
          <w:kern w:val="0"/>
          <w:sz w:val="24"/>
          <w:highlight w:val="none"/>
          <w:u w:val="single"/>
          <w:lang w:eastAsia="zh-Hans"/>
        </w:rPr>
        <w:t>）</w:t>
      </w:r>
    </w:p>
    <w:p w14:paraId="7CF6B598">
      <w:pPr>
        <w:widowControl/>
        <w:spacing w:line="440" w:lineRule="exact"/>
        <w:ind w:firstLine="240"/>
        <w:jc w:val="left"/>
        <w:rPr>
          <w:color w:val="auto"/>
          <w:kern w:val="0"/>
          <w:sz w:val="24"/>
          <w:highlight w:val="none"/>
          <w:lang w:eastAsia="zh-Hans"/>
        </w:rPr>
      </w:pPr>
      <w:r>
        <w:rPr>
          <w:rFonts w:hint="eastAsia" w:ascii="宋体" w:hAnsi="宋体" w:eastAsia="宋体" w:cs="宋体"/>
          <w:color w:val="auto"/>
          <w:kern w:val="0"/>
          <w:sz w:val="24"/>
          <w:highlight w:val="none"/>
        </w:rPr>
        <w:t>8.</w:t>
      </w:r>
      <w:r>
        <w:rPr>
          <w:rFonts w:ascii="宋体" w:hAnsi="宋体" w:eastAsia="宋体" w:cs="宋体"/>
          <w:color w:val="auto"/>
          <w:kern w:val="0"/>
          <w:sz w:val="24"/>
          <w:highlight w:val="none"/>
          <w:lang w:eastAsia="zh-Hans"/>
        </w:rPr>
        <w:t>中标人提供符合国家质量标准的商品并保证运输途中的产品质量，如出现质量问题，经核查属实，采购方有权要求更换，如出现集体性事故，采购方应负相关的法律责任</w:t>
      </w:r>
      <w:r>
        <w:rPr>
          <w:rFonts w:ascii="宋体" w:hAnsi="宋体" w:eastAsia="宋体" w:cs="宋体"/>
          <w:b/>
          <w:bCs/>
          <w:color w:val="auto"/>
          <w:kern w:val="0"/>
          <w:sz w:val="24"/>
          <w:highlight w:val="none"/>
          <w:lang w:eastAsia="zh-Hans"/>
        </w:rPr>
        <w:t>。</w:t>
      </w:r>
      <w:r>
        <w:rPr>
          <w:rFonts w:ascii="宋体" w:hAnsi="宋体" w:eastAsia="宋体" w:cs="宋体"/>
          <w:b/>
          <w:bCs/>
          <w:color w:val="auto"/>
          <w:kern w:val="0"/>
          <w:sz w:val="24"/>
          <w:highlight w:val="none"/>
          <w:u w:val="single"/>
          <w:lang w:eastAsia="zh-Hans"/>
        </w:rPr>
        <w:t>（</w:t>
      </w:r>
      <w:r>
        <w:rPr>
          <w:rFonts w:hint="eastAsia" w:ascii="宋体" w:hAnsi="宋体" w:eastAsia="宋体" w:cs="宋体"/>
          <w:b/>
          <w:bCs/>
          <w:color w:val="auto"/>
          <w:kern w:val="0"/>
          <w:sz w:val="24"/>
          <w:highlight w:val="none"/>
          <w:u w:val="single"/>
        </w:rPr>
        <w:t>评</w:t>
      </w:r>
      <w:r>
        <w:rPr>
          <w:rFonts w:ascii="宋体" w:hAnsi="宋体" w:eastAsia="宋体" w:cs="宋体"/>
          <w:b/>
          <w:bCs/>
          <w:color w:val="auto"/>
          <w:kern w:val="0"/>
          <w:sz w:val="24"/>
          <w:highlight w:val="none"/>
          <w:u w:val="single"/>
          <w:lang w:eastAsia="zh-Hans"/>
        </w:rPr>
        <w:t>审项</w:t>
      </w:r>
      <w:r>
        <w:rPr>
          <w:rFonts w:hint="eastAsia" w:ascii="宋体" w:hAnsi="宋体" w:eastAsia="宋体" w:cs="宋体"/>
          <w:b/>
          <w:bCs/>
          <w:color w:val="auto"/>
          <w:kern w:val="0"/>
          <w:sz w:val="24"/>
          <w:highlight w:val="none"/>
          <w:u w:val="single"/>
          <w:lang w:val="en-US" w:eastAsia="zh-CN"/>
        </w:rPr>
        <w:t>8</w:t>
      </w:r>
      <w:r>
        <w:rPr>
          <w:rFonts w:ascii="宋体" w:hAnsi="宋体" w:eastAsia="宋体" w:cs="宋体"/>
          <w:b/>
          <w:bCs/>
          <w:color w:val="auto"/>
          <w:kern w:val="0"/>
          <w:sz w:val="24"/>
          <w:highlight w:val="none"/>
          <w:u w:val="single"/>
          <w:lang w:eastAsia="zh-Hans"/>
        </w:rPr>
        <w:t>）</w:t>
      </w:r>
    </w:p>
    <w:p w14:paraId="456D4B6A">
      <w:pPr>
        <w:widowControl/>
        <w:spacing w:line="440" w:lineRule="exact"/>
        <w:ind w:firstLine="240"/>
        <w:jc w:val="left"/>
        <w:rPr>
          <w:color w:val="auto"/>
          <w:kern w:val="0"/>
          <w:sz w:val="24"/>
          <w:highlight w:val="none"/>
          <w:lang w:eastAsia="zh-Hans"/>
        </w:rPr>
      </w:pPr>
      <w:r>
        <w:rPr>
          <w:rFonts w:hint="eastAsia" w:ascii="宋体" w:hAnsi="宋体" w:eastAsia="宋体" w:cs="宋体"/>
          <w:color w:val="auto"/>
          <w:kern w:val="0"/>
          <w:sz w:val="24"/>
          <w:highlight w:val="none"/>
        </w:rPr>
        <w:t>9.</w:t>
      </w:r>
      <w:r>
        <w:rPr>
          <w:rFonts w:ascii="宋体" w:hAnsi="宋体" w:eastAsia="宋体" w:cs="宋体"/>
          <w:color w:val="auto"/>
          <w:kern w:val="0"/>
          <w:sz w:val="24"/>
          <w:highlight w:val="none"/>
          <w:lang w:eastAsia="zh-Hans"/>
        </w:rPr>
        <w:t>中标人应尽可能与当地种养大户、种养企业、种养合 作社合 作，并优先采购扶贫农产品。在同等条件下，采购当地食材供应学校食堂，降低食材运输成本，提高食材新鲜度。</w:t>
      </w:r>
      <w:r>
        <w:rPr>
          <w:rFonts w:ascii="宋体" w:hAnsi="宋体" w:eastAsia="宋体" w:cs="宋体"/>
          <w:b/>
          <w:bCs/>
          <w:color w:val="auto"/>
          <w:kern w:val="0"/>
          <w:sz w:val="24"/>
          <w:highlight w:val="none"/>
          <w:u w:val="single"/>
          <w:lang w:eastAsia="zh-Hans"/>
        </w:rPr>
        <w:t>（</w:t>
      </w:r>
      <w:r>
        <w:rPr>
          <w:rFonts w:hint="eastAsia" w:ascii="宋体" w:hAnsi="宋体" w:eastAsia="宋体" w:cs="宋体"/>
          <w:b/>
          <w:bCs/>
          <w:color w:val="auto"/>
          <w:kern w:val="0"/>
          <w:sz w:val="24"/>
          <w:highlight w:val="none"/>
          <w:u w:val="single"/>
        </w:rPr>
        <w:t>评</w:t>
      </w:r>
      <w:r>
        <w:rPr>
          <w:rFonts w:ascii="宋体" w:hAnsi="宋体" w:eastAsia="宋体" w:cs="宋体"/>
          <w:b/>
          <w:bCs/>
          <w:color w:val="auto"/>
          <w:kern w:val="0"/>
          <w:sz w:val="24"/>
          <w:highlight w:val="none"/>
          <w:u w:val="single"/>
          <w:lang w:eastAsia="zh-Hans"/>
        </w:rPr>
        <w:t>审项</w:t>
      </w:r>
      <w:r>
        <w:rPr>
          <w:rFonts w:hint="eastAsia" w:ascii="宋体" w:hAnsi="宋体" w:eastAsia="宋体" w:cs="宋体"/>
          <w:b/>
          <w:bCs/>
          <w:color w:val="auto"/>
          <w:kern w:val="0"/>
          <w:sz w:val="24"/>
          <w:highlight w:val="none"/>
          <w:u w:val="single"/>
          <w:lang w:val="en-US" w:eastAsia="zh-CN"/>
        </w:rPr>
        <w:t>9</w:t>
      </w:r>
      <w:r>
        <w:rPr>
          <w:rFonts w:ascii="宋体" w:hAnsi="宋体" w:eastAsia="宋体" w:cs="宋体"/>
          <w:b/>
          <w:bCs/>
          <w:color w:val="auto"/>
          <w:kern w:val="0"/>
          <w:sz w:val="24"/>
          <w:highlight w:val="none"/>
          <w:u w:val="single"/>
          <w:lang w:eastAsia="zh-Hans"/>
        </w:rPr>
        <w:t>）</w:t>
      </w:r>
    </w:p>
    <w:p w14:paraId="581DD84B">
      <w:pPr>
        <w:widowControl/>
        <w:spacing w:line="440" w:lineRule="exact"/>
        <w:ind w:firstLine="240"/>
        <w:jc w:val="left"/>
        <w:rPr>
          <w:color w:val="auto"/>
          <w:kern w:val="0"/>
          <w:sz w:val="24"/>
          <w:highlight w:val="none"/>
          <w:lang w:eastAsia="zh-Hans"/>
        </w:rPr>
      </w:pPr>
      <w:r>
        <w:rPr>
          <w:rFonts w:hint="eastAsia" w:ascii="宋体" w:hAnsi="宋体" w:eastAsia="宋体" w:cs="宋体"/>
          <w:color w:val="auto"/>
          <w:kern w:val="0"/>
          <w:sz w:val="24"/>
          <w:highlight w:val="none"/>
        </w:rPr>
        <w:t>10.</w:t>
      </w:r>
      <w:r>
        <w:rPr>
          <w:rFonts w:ascii="宋体" w:hAnsi="宋体" w:eastAsia="宋体" w:cs="宋体"/>
          <w:color w:val="auto"/>
          <w:kern w:val="0"/>
          <w:sz w:val="24"/>
          <w:highlight w:val="none"/>
          <w:lang w:eastAsia="zh-Hans"/>
        </w:rPr>
        <w:t>中标人在学生食堂食材供应中，应听从学校及相关部门对学生食堂食材供应的反馈意见，对合理的意见应及时采纳执行。</w:t>
      </w:r>
      <w:r>
        <w:rPr>
          <w:rFonts w:ascii="宋体" w:hAnsi="宋体" w:eastAsia="宋体" w:cs="宋体"/>
          <w:b/>
          <w:bCs/>
          <w:color w:val="auto"/>
          <w:kern w:val="0"/>
          <w:sz w:val="24"/>
          <w:highlight w:val="none"/>
          <w:u w:val="single"/>
          <w:lang w:eastAsia="zh-Hans"/>
        </w:rPr>
        <w:t>（</w:t>
      </w:r>
      <w:r>
        <w:rPr>
          <w:rFonts w:hint="eastAsia" w:ascii="宋体" w:hAnsi="宋体" w:eastAsia="宋体" w:cs="宋体"/>
          <w:b/>
          <w:bCs/>
          <w:color w:val="auto"/>
          <w:kern w:val="0"/>
          <w:sz w:val="24"/>
          <w:highlight w:val="none"/>
          <w:u w:val="single"/>
        </w:rPr>
        <w:t>评</w:t>
      </w:r>
      <w:r>
        <w:rPr>
          <w:rFonts w:ascii="宋体" w:hAnsi="宋体" w:eastAsia="宋体" w:cs="宋体"/>
          <w:b/>
          <w:bCs/>
          <w:color w:val="auto"/>
          <w:kern w:val="0"/>
          <w:sz w:val="24"/>
          <w:highlight w:val="none"/>
          <w:u w:val="single"/>
          <w:lang w:eastAsia="zh-Hans"/>
        </w:rPr>
        <w:t>审项</w:t>
      </w:r>
      <w:r>
        <w:rPr>
          <w:rFonts w:hint="eastAsia" w:ascii="宋体" w:hAnsi="宋体" w:eastAsia="宋体" w:cs="宋体"/>
          <w:b/>
          <w:bCs/>
          <w:color w:val="auto"/>
          <w:kern w:val="0"/>
          <w:sz w:val="24"/>
          <w:highlight w:val="none"/>
          <w:u w:val="single"/>
          <w:lang w:val="en-US" w:eastAsia="zh-CN"/>
        </w:rPr>
        <w:t>10</w:t>
      </w:r>
      <w:r>
        <w:rPr>
          <w:rFonts w:ascii="宋体" w:hAnsi="宋体" w:eastAsia="宋体" w:cs="宋体"/>
          <w:b/>
          <w:bCs/>
          <w:color w:val="auto"/>
          <w:kern w:val="0"/>
          <w:sz w:val="24"/>
          <w:highlight w:val="none"/>
          <w:u w:val="single"/>
          <w:lang w:eastAsia="zh-Hans"/>
        </w:rPr>
        <w:t>）</w:t>
      </w:r>
    </w:p>
    <w:p w14:paraId="3B11F4B0">
      <w:pPr>
        <w:widowControl/>
        <w:spacing w:line="440" w:lineRule="exact"/>
        <w:ind w:firstLine="240"/>
        <w:jc w:val="left"/>
        <w:rPr>
          <w:color w:val="auto"/>
          <w:kern w:val="0"/>
          <w:sz w:val="24"/>
          <w:highlight w:val="none"/>
          <w:lang w:eastAsia="zh-Hans"/>
        </w:rPr>
      </w:pPr>
      <w:r>
        <w:rPr>
          <w:rFonts w:ascii="宋体" w:hAnsi="宋体" w:eastAsia="宋体" w:cs="宋体"/>
          <w:color w:val="auto"/>
          <w:kern w:val="0"/>
          <w:sz w:val="24"/>
          <w:highlight w:val="none"/>
          <w:lang w:eastAsia="zh-Hans"/>
        </w:rPr>
        <w:t>1</w:t>
      </w:r>
      <w:r>
        <w:rPr>
          <w:rFonts w:hint="eastAsia" w:ascii="宋体" w:hAnsi="宋体" w:eastAsia="宋体" w:cs="宋体"/>
          <w:color w:val="auto"/>
          <w:kern w:val="0"/>
          <w:sz w:val="24"/>
          <w:highlight w:val="none"/>
        </w:rPr>
        <w:t>1.</w:t>
      </w:r>
      <w:r>
        <w:rPr>
          <w:rFonts w:ascii="宋体" w:hAnsi="宋体" w:eastAsia="宋体" w:cs="宋体"/>
          <w:color w:val="auto"/>
          <w:kern w:val="0"/>
          <w:sz w:val="24"/>
          <w:highlight w:val="none"/>
          <w:lang w:eastAsia="zh-Hans"/>
        </w:rPr>
        <w:t>中标人应保证商品运输的及时性；中标人须配备专门的接单人员，负责和各学校老师的订单确认、沟通工作，确保及时有效的完成配送服务。员工上岗前必须参加体检并办理健康证，持证上岗。</w:t>
      </w:r>
      <w:r>
        <w:rPr>
          <w:rFonts w:ascii="宋体" w:hAnsi="宋体" w:eastAsia="宋体" w:cs="宋体"/>
          <w:b/>
          <w:bCs/>
          <w:color w:val="auto"/>
          <w:kern w:val="0"/>
          <w:sz w:val="24"/>
          <w:highlight w:val="none"/>
          <w:u w:val="single"/>
          <w:lang w:eastAsia="zh-Hans"/>
        </w:rPr>
        <w:t>（</w:t>
      </w:r>
      <w:r>
        <w:rPr>
          <w:rFonts w:hint="eastAsia" w:ascii="宋体" w:hAnsi="宋体" w:eastAsia="宋体" w:cs="宋体"/>
          <w:b/>
          <w:bCs/>
          <w:color w:val="auto"/>
          <w:kern w:val="0"/>
          <w:sz w:val="24"/>
          <w:highlight w:val="none"/>
          <w:u w:val="single"/>
        </w:rPr>
        <w:t>评</w:t>
      </w:r>
      <w:r>
        <w:rPr>
          <w:rFonts w:ascii="宋体" w:hAnsi="宋体" w:eastAsia="宋体" w:cs="宋体"/>
          <w:b/>
          <w:bCs/>
          <w:color w:val="auto"/>
          <w:kern w:val="0"/>
          <w:sz w:val="24"/>
          <w:highlight w:val="none"/>
          <w:u w:val="single"/>
          <w:lang w:eastAsia="zh-Hans"/>
        </w:rPr>
        <w:t>审项</w:t>
      </w:r>
      <w:r>
        <w:rPr>
          <w:rFonts w:hint="eastAsia" w:ascii="宋体" w:hAnsi="宋体" w:eastAsia="宋体" w:cs="宋体"/>
          <w:b/>
          <w:bCs/>
          <w:color w:val="auto"/>
          <w:kern w:val="0"/>
          <w:sz w:val="24"/>
          <w:highlight w:val="none"/>
          <w:u w:val="single"/>
        </w:rPr>
        <w:t>1</w:t>
      </w:r>
      <w:r>
        <w:rPr>
          <w:rFonts w:hint="eastAsia" w:ascii="宋体" w:hAnsi="宋体" w:eastAsia="宋体" w:cs="宋体"/>
          <w:b/>
          <w:bCs/>
          <w:color w:val="auto"/>
          <w:kern w:val="0"/>
          <w:sz w:val="24"/>
          <w:highlight w:val="none"/>
          <w:u w:val="single"/>
          <w:lang w:val="en-US" w:eastAsia="zh-CN"/>
        </w:rPr>
        <w:t>1</w:t>
      </w:r>
      <w:r>
        <w:rPr>
          <w:rFonts w:ascii="宋体" w:hAnsi="宋体" w:eastAsia="宋体" w:cs="宋体"/>
          <w:b/>
          <w:bCs/>
          <w:color w:val="auto"/>
          <w:kern w:val="0"/>
          <w:sz w:val="24"/>
          <w:highlight w:val="none"/>
          <w:u w:val="single"/>
          <w:lang w:eastAsia="zh-Hans"/>
        </w:rPr>
        <w:t>）</w:t>
      </w:r>
    </w:p>
    <w:p w14:paraId="0597841E">
      <w:pPr>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color w:val="auto"/>
          <w:kern w:val="0"/>
          <w:sz w:val="24"/>
          <w:highlight w:val="none"/>
          <w:lang w:eastAsia="zh-Hans"/>
        </w:rPr>
      </w:pPr>
      <w:r>
        <w:rPr>
          <w:rFonts w:hint="eastAsia" w:ascii="宋体" w:hAnsi="宋体" w:eastAsia="宋体" w:cs="宋体"/>
          <w:color w:val="auto"/>
          <w:kern w:val="0"/>
          <w:sz w:val="24"/>
          <w:highlight w:val="none"/>
          <w:lang w:eastAsia="zh-Hans"/>
        </w:rPr>
        <w:t>★</w:t>
      </w:r>
      <w:r>
        <w:rPr>
          <w:rFonts w:ascii="宋体" w:hAnsi="宋体" w:eastAsia="宋体" w:cs="宋体"/>
          <w:b/>
          <w:bCs/>
          <w:color w:val="auto"/>
          <w:kern w:val="0"/>
          <w:sz w:val="24"/>
          <w:highlight w:val="none"/>
          <w:lang w:eastAsia="zh-Hans"/>
        </w:rPr>
        <w:t>1</w:t>
      </w:r>
      <w:r>
        <w:rPr>
          <w:rFonts w:hint="eastAsia" w:ascii="宋体" w:hAnsi="宋体" w:eastAsia="宋体" w:cs="宋体"/>
          <w:b/>
          <w:bCs/>
          <w:color w:val="auto"/>
          <w:kern w:val="0"/>
          <w:sz w:val="24"/>
          <w:highlight w:val="none"/>
          <w:lang w:eastAsia="zh-Hans"/>
        </w:rPr>
        <w:t>2.</w:t>
      </w:r>
      <w:r>
        <w:rPr>
          <w:rFonts w:ascii="宋体" w:hAnsi="宋体" w:eastAsia="宋体" w:cs="宋体"/>
          <w:b/>
          <w:bCs/>
          <w:color w:val="auto"/>
          <w:kern w:val="0"/>
          <w:sz w:val="24"/>
          <w:highlight w:val="none"/>
          <w:lang w:eastAsia="zh-Hans"/>
        </w:rPr>
        <w:t>仓储管理</w:t>
      </w:r>
      <w:r>
        <w:rPr>
          <w:rFonts w:hint="eastAsia" w:ascii="宋体" w:hAnsi="宋体" w:eastAsia="宋体" w:cs="宋体"/>
          <w:b/>
          <w:bCs/>
          <w:color w:val="auto"/>
          <w:kern w:val="0"/>
          <w:sz w:val="24"/>
          <w:highlight w:val="none"/>
          <w:lang w:eastAsia="zh-CN"/>
        </w:rPr>
        <w:t>：</w:t>
      </w:r>
      <w:r>
        <w:rPr>
          <w:rFonts w:ascii="宋体" w:hAnsi="宋体" w:eastAsia="宋体" w:cs="宋体"/>
          <w:b/>
          <w:bCs/>
          <w:color w:val="auto"/>
          <w:kern w:val="0"/>
          <w:sz w:val="24"/>
          <w:highlight w:val="none"/>
          <w:lang w:eastAsia="zh-Hans"/>
        </w:rPr>
        <w:t>投标人承诺：</w:t>
      </w:r>
      <w:r>
        <w:rPr>
          <w:rFonts w:ascii="宋体" w:hAnsi="宋体" w:eastAsia="宋体" w:cs="宋体"/>
          <w:color w:val="auto"/>
          <w:kern w:val="0"/>
          <w:sz w:val="24"/>
          <w:highlight w:val="none"/>
          <w:lang w:eastAsia="zh-Hans"/>
        </w:rPr>
        <w:t>中标后须在中标通知书发出之日起20天内在</w:t>
      </w:r>
      <w:r>
        <w:rPr>
          <w:rFonts w:hint="eastAsia" w:ascii="宋体" w:hAnsi="宋体" w:eastAsia="宋体" w:cs="宋体"/>
          <w:color w:val="auto"/>
          <w:kern w:val="0"/>
          <w:sz w:val="24"/>
          <w:highlight w:val="none"/>
          <w:lang w:val="en-US" w:eastAsia="zh-CN"/>
        </w:rPr>
        <w:t>项目所在地</w:t>
      </w:r>
      <w:r>
        <w:rPr>
          <w:rFonts w:ascii="宋体" w:hAnsi="宋体" w:eastAsia="宋体" w:cs="宋体"/>
          <w:color w:val="auto"/>
          <w:kern w:val="0"/>
          <w:sz w:val="24"/>
          <w:highlight w:val="none"/>
          <w:lang w:eastAsia="zh-Hans"/>
        </w:rPr>
        <w:t>设立经营面积</w:t>
      </w:r>
      <w:r>
        <w:rPr>
          <w:rFonts w:hint="eastAsia" w:ascii="宋体" w:hAnsi="宋体" w:eastAsia="宋体" w:cs="宋体"/>
          <w:color w:val="auto"/>
          <w:kern w:val="0"/>
          <w:sz w:val="24"/>
          <w:highlight w:val="none"/>
          <w:lang w:eastAsia="zh-Hans"/>
        </w:rPr>
        <w:t>≥</w:t>
      </w:r>
      <w:r>
        <w:rPr>
          <w:rFonts w:ascii="宋体" w:hAnsi="宋体" w:eastAsia="宋体" w:cs="宋体"/>
          <w:color w:val="auto"/>
          <w:kern w:val="0"/>
          <w:sz w:val="24"/>
          <w:highlight w:val="none"/>
          <w:lang w:eastAsia="zh-Hans"/>
        </w:rPr>
        <w:t>500平方米的配送点，且该配送点须配置专业的冷藏冷冻设备、独立的食品安全检测室及检验设备（农药残留检测仪等），</w:t>
      </w:r>
      <w:r>
        <w:rPr>
          <w:rFonts w:hint="eastAsia" w:ascii="宋体" w:hAnsi="宋体" w:eastAsia="宋体" w:cs="宋体"/>
          <w:color w:val="auto"/>
          <w:kern w:val="0"/>
          <w:sz w:val="24"/>
          <w:highlight w:val="none"/>
          <w:lang w:val="en-US" w:eastAsia="zh-CN"/>
        </w:rPr>
        <w:t>且</w:t>
      </w:r>
      <w:r>
        <w:rPr>
          <w:rFonts w:hint="eastAsia" w:ascii="宋体" w:hAnsi="宋体" w:eastAsia="宋体" w:cs="宋体"/>
          <w:color w:val="auto"/>
          <w:kern w:val="0"/>
          <w:sz w:val="24"/>
          <w:highlight w:val="none"/>
          <w:lang w:eastAsia="zh-Hans"/>
        </w:rPr>
        <w:t>场所须包含保鲜库、冷冻库、低温分拣</w:t>
      </w:r>
      <w:r>
        <w:rPr>
          <w:rFonts w:hint="eastAsia" w:ascii="宋体" w:hAnsi="宋体" w:eastAsia="宋体" w:cs="宋体"/>
          <w:color w:val="auto"/>
          <w:kern w:val="0"/>
          <w:sz w:val="24"/>
          <w:highlight w:val="none"/>
          <w:lang w:val="en-US" w:eastAsia="zh-CN"/>
        </w:rPr>
        <w:t>室</w:t>
      </w:r>
      <w:r>
        <w:rPr>
          <w:rFonts w:hint="eastAsia" w:ascii="宋体" w:hAnsi="宋体" w:eastAsia="宋体" w:cs="宋体"/>
          <w:color w:val="auto"/>
          <w:kern w:val="0"/>
          <w:sz w:val="24"/>
          <w:highlight w:val="none"/>
          <w:lang w:eastAsia="zh-Hans"/>
        </w:rPr>
        <w:t>、常温分拣</w:t>
      </w:r>
      <w:r>
        <w:rPr>
          <w:rFonts w:hint="eastAsia" w:ascii="宋体" w:hAnsi="宋体" w:eastAsia="宋体" w:cs="宋体"/>
          <w:color w:val="auto"/>
          <w:kern w:val="0"/>
          <w:sz w:val="24"/>
          <w:highlight w:val="none"/>
          <w:lang w:val="en-US" w:eastAsia="zh-CN"/>
        </w:rPr>
        <w:t>室</w:t>
      </w:r>
      <w:r>
        <w:rPr>
          <w:rFonts w:hint="eastAsia" w:ascii="宋体" w:hAnsi="宋体" w:eastAsia="宋体" w:cs="宋体"/>
          <w:color w:val="auto"/>
          <w:kern w:val="0"/>
          <w:sz w:val="24"/>
          <w:highlight w:val="none"/>
          <w:lang w:eastAsia="zh-Hans"/>
        </w:rPr>
        <w:t>、留样室、食品安全检测室、加工室等</w:t>
      </w:r>
      <w:r>
        <w:rPr>
          <w:rFonts w:ascii="宋体" w:hAnsi="宋体" w:eastAsia="宋体" w:cs="宋体"/>
          <w:color w:val="auto"/>
          <w:kern w:val="0"/>
          <w:sz w:val="24"/>
          <w:highlight w:val="none"/>
          <w:lang w:eastAsia="zh-Hans"/>
        </w:rPr>
        <w:t>并配备专业的仓储物流管理人员及专职的检验人员，通过采购人（配送学校）验收。否则，采购人有权取消其中标资格，给采购人（配送学校）造成损失的，将追究其赔偿责任。[投标人须在投标文件中针对此条款作出书面</w:t>
      </w:r>
      <w:r>
        <w:rPr>
          <w:rFonts w:hint="eastAsia" w:ascii="宋体" w:hAnsi="宋体" w:eastAsia="宋体" w:cs="宋体"/>
          <w:color w:val="auto"/>
          <w:kern w:val="0"/>
          <w:sz w:val="24"/>
          <w:highlight w:val="none"/>
          <w:lang w:val="en-US" w:eastAsia="zh-CN"/>
        </w:rPr>
        <w:t>专项</w:t>
      </w:r>
      <w:r>
        <w:rPr>
          <w:rFonts w:ascii="宋体" w:hAnsi="宋体" w:eastAsia="宋体" w:cs="宋体"/>
          <w:color w:val="auto"/>
          <w:kern w:val="0"/>
          <w:sz w:val="24"/>
          <w:highlight w:val="none"/>
          <w:lang w:eastAsia="zh-Hans"/>
        </w:rPr>
        <w:t>承诺（格式自拟），否则视为无效投标]</w:t>
      </w:r>
      <w:r>
        <w:rPr>
          <w:rFonts w:ascii="宋体" w:hAnsi="宋体" w:eastAsia="宋体" w:cs="宋体"/>
          <w:color w:val="auto"/>
          <w:kern w:val="0"/>
          <w:sz w:val="24"/>
          <w:highlight w:val="none"/>
        </w:rPr>
        <w:t xml:space="preserve"> </w:t>
      </w:r>
    </w:p>
    <w:p w14:paraId="6A815481">
      <w:pPr>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color w:val="auto"/>
          <w:kern w:val="0"/>
          <w:sz w:val="24"/>
          <w:highlight w:val="none"/>
          <w:lang w:eastAsia="zh-Hans"/>
        </w:rPr>
      </w:pPr>
      <w:r>
        <w:rPr>
          <w:rFonts w:ascii="宋体" w:hAnsi="宋体" w:eastAsia="宋体" w:cs="宋体"/>
          <w:color w:val="auto"/>
          <w:kern w:val="0"/>
          <w:sz w:val="24"/>
          <w:highlight w:val="none"/>
          <w:lang w:eastAsia="zh-Hans"/>
        </w:rPr>
        <w:t>1</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w:t>
      </w:r>
      <w:r>
        <w:rPr>
          <w:rFonts w:ascii="宋体" w:hAnsi="宋体" w:eastAsia="宋体" w:cs="宋体"/>
          <w:color w:val="auto"/>
          <w:kern w:val="0"/>
          <w:sz w:val="24"/>
          <w:highlight w:val="none"/>
          <w:lang w:eastAsia="zh-Hans"/>
        </w:rPr>
        <w:t>中标人应当保存进货时各种商品的原始发票、供货凭证等能够证明进货来源的文件资料，并建立台帐。</w:t>
      </w:r>
      <w:r>
        <w:rPr>
          <w:rFonts w:ascii="宋体" w:hAnsi="宋体" w:eastAsia="宋体" w:cs="宋体"/>
          <w:b/>
          <w:bCs/>
          <w:color w:val="auto"/>
          <w:kern w:val="0"/>
          <w:sz w:val="24"/>
          <w:highlight w:val="none"/>
          <w:u w:val="single"/>
          <w:lang w:eastAsia="zh-Hans"/>
        </w:rPr>
        <w:t>（</w:t>
      </w:r>
      <w:r>
        <w:rPr>
          <w:rFonts w:hint="eastAsia" w:ascii="宋体" w:hAnsi="宋体" w:eastAsia="宋体" w:cs="宋体"/>
          <w:b/>
          <w:bCs/>
          <w:color w:val="auto"/>
          <w:kern w:val="0"/>
          <w:sz w:val="24"/>
          <w:highlight w:val="none"/>
          <w:u w:val="single"/>
        </w:rPr>
        <w:t>评</w:t>
      </w:r>
      <w:r>
        <w:rPr>
          <w:rFonts w:ascii="宋体" w:hAnsi="宋体" w:eastAsia="宋体" w:cs="宋体"/>
          <w:b/>
          <w:bCs/>
          <w:color w:val="auto"/>
          <w:kern w:val="0"/>
          <w:sz w:val="24"/>
          <w:highlight w:val="none"/>
          <w:u w:val="single"/>
          <w:lang w:eastAsia="zh-Hans"/>
        </w:rPr>
        <w:t>审项</w:t>
      </w:r>
      <w:r>
        <w:rPr>
          <w:rFonts w:hint="eastAsia" w:ascii="宋体" w:hAnsi="宋体" w:eastAsia="宋体" w:cs="宋体"/>
          <w:b/>
          <w:bCs/>
          <w:color w:val="auto"/>
          <w:kern w:val="0"/>
          <w:sz w:val="24"/>
          <w:highlight w:val="none"/>
          <w:u w:val="single"/>
        </w:rPr>
        <w:t>1</w:t>
      </w:r>
      <w:r>
        <w:rPr>
          <w:rFonts w:hint="eastAsia" w:ascii="宋体" w:hAnsi="宋体" w:eastAsia="宋体" w:cs="宋体"/>
          <w:b/>
          <w:bCs/>
          <w:color w:val="auto"/>
          <w:kern w:val="0"/>
          <w:sz w:val="24"/>
          <w:highlight w:val="none"/>
          <w:u w:val="single"/>
          <w:lang w:val="en-US" w:eastAsia="zh-CN"/>
        </w:rPr>
        <w:t>2</w:t>
      </w:r>
      <w:r>
        <w:rPr>
          <w:rFonts w:ascii="宋体" w:hAnsi="宋体" w:eastAsia="宋体" w:cs="宋体"/>
          <w:b/>
          <w:bCs/>
          <w:color w:val="auto"/>
          <w:kern w:val="0"/>
          <w:sz w:val="24"/>
          <w:highlight w:val="none"/>
          <w:u w:val="single"/>
          <w:lang w:eastAsia="zh-Hans"/>
        </w:rPr>
        <w:t>）</w:t>
      </w:r>
    </w:p>
    <w:p w14:paraId="5A3C0409">
      <w:pPr>
        <w:widowControl/>
        <w:spacing w:line="440" w:lineRule="exact"/>
        <w:ind w:firstLine="240"/>
        <w:jc w:val="left"/>
        <w:rPr>
          <w:color w:val="auto"/>
          <w:kern w:val="0"/>
          <w:sz w:val="24"/>
          <w:highlight w:val="none"/>
          <w:lang w:eastAsia="zh-Hans"/>
        </w:rPr>
      </w:pPr>
      <w:r>
        <w:rPr>
          <w:rFonts w:ascii="宋体" w:hAnsi="宋体" w:eastAsia="宋体" w:cs="宋体"/>
          <w:color w:val="auto"/>
          <w:kern w:val="0"/>
          <w:sz w:val="24"/>
          <w:highlight w:val="none"/>
          <w:lang w:eastAsia="zh-Hans"/>
        </w:rPr>
        <w:t>1</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w:t>
      </w:r>
      <w:r>
        <w:rPr>
          <w:rFonts w:ascii="宋体" w:hAnsi="宋体" w:eastAsia="宋体" w:cs="宋体"/>
          <w:color w:val="auto"/>
          <w:kern w:val="0"/>
          <w:sz w:val="24"/>
          <w:highlight w:val="none"/>
          <w:lang w:eastAsia="zh-Hans"/>
        </w:rPr>
        <w:t>为有效预防突发事件的发生，提高应对突发事件的处置能力，需成立项目的应急人员小组，并提供有效设备及应对措施办法，以便对应急事件做到灵活处理。</w:t>
      </w:r>
      <w:r>
        <w:rPr>
          <w:rFonts w:hint="eastAsia" w:ascii="宋体" w:hAnsi="宋体" w:eastAsia="宋体" w:cs="宋体"/>
          <w:color w:val="auto"/>
          <w:kern w:val="0"/>
          <w:sz w:val="24"/>
          <w:highlight w:val="none"/>
          <w:lang w:val="en-US" w:eastAsia="zh-CN"/>
        </w:rPr>
        <w:t>并</w:t>
      </w:r>
      <w:r>
        <w:rPr>
          <w:rFonts w:ascii="宋体" w:hAnsi="宋体" w:eastAsia="宋体" w:cs="宋体"/>
          <w:color w:val="auto"/>
          <w:kern w:val="0"/>
          <w:sz w:val="24"/>
          <w:highlight w:val="none"/>
          <w:lang w:eastAsia="zh-Hans"/>
        </w:rPr>
        <w:t>针对采购方的临时需求配送，需要做到即时配送，以满足采购方的需求。</w:t>
      </w:r>
      <w:r>
        <w:rPr>
          <w:rFonts w:ascii="宋体" w:hAnsi="宋体" w:eastAsia="宋体" w:cs="宋体"/>
          <w:b/>
          <w:bCs/>
          <w:color w:val="auto"/>
          <w:kern w:val="0"/>
          <w:sz w:val="24"/>
          <w:highlight w:val="none"/>
          <w:u w:val="single"/>
          <w:lang w:eastAsia="zh-Hans"/>
        </w:rPr>
        <w:t>（</w:t>
      </w:r>
      <w:r>
        <w:rPr>
          <w:rFonts w:hint="eastAsia" w:ascii="宋体" w:hAnsi="宋体" w:eastAsia="宋体" w:cs="宋体"/>
          <w:b/>
          <w:bCs/>
          <w:color w:val="auto"/>
          <w:kern w:val="0"/>
          <w:sz w:val="24"/>
          <w:highlight w:val="none"/>
          <w:u w:val="single"/>
        </w:rPr>
        <w:t>评</w:t>
      </w:r>
      <w:r>
        <w:rPr>
          <w:rFonts w:ascii="宋体" w:hAnsi="宋体" w:eastAsia="宋体" w:cs="宋体"/>
          <w:b/>
          <w:bCs/>
          <w:color w:val="auto"/>
          <w:kern w:val="0"/>
          <w:sz w:val="24"/>
          <w:highlight w:val="none"/>
          <w:u w:val="single"/>
          <w:lang w:eastAsia="zh-Hans"/>
        </w:rPr>
        <w:t>审项</w:t>
      </w:r>
      <w:r>
        <w:rPr>
          <w:rFonts w:hint="eastAsia" w:ascii="宋体" w:hAnsi="宋体" w:eastAsia="宋体" w:cs="宋体"/>
          <w:b/>
          <w:bCs/>
          <w:color w:val="auto"/>
          <w:kern w:val="0"/>
          <w:sz w:val="24"/>
          <w:highlight w:val="none"/>
          <w:u w:val="single"/>
        </w:rPr>
        <w:t>1</w:t>
      </w:r>
      <w:r>
        <w:rPr>
          <w:rFonts w:hint="eastAsia" w:ascii="宋体" w:hAnsi="宋体" w:eastAsia="宋体" w:cs="宋体"/>
          <w:b/>
          <w:bCs/>
          <w:color w:val="auto"/>
          <w:kern w:val="0"/>
          <w:sz w:val="24"/>
          <w:highlight w:val="none"/>
          <w:u w:val="single"/>
          <w:lang w:val="en-US" w:eastAsia="zh-CN"/>
        </w:rPr>
        <w:t>3</w:t>
      </w:r>
      <w:r>
        <w:rPr>
          <w:rFonts w:ascii="宋体" w:hAnsi="宋体" w:eastAsia="宋体" w:cs="宋体"/>
          <w:b/>
          <w:bCs/>
          <w:color w:val="auto"/>
          <w:kern w:val="0"/>
          <w:sz w:val="24"/>
          <w:highlight w:val="none"/>
          <w:u w:val="single"/>
          <w:lang w:eastAsia="zh-Hans"/>
        </w:rPr>
        <w:t>）</w:t>
      </w:r>
    </w:p>
    <w:p w14:paraId="703B8854">
      <w:pPr>
        <w:widowControl/>
        <w:spacing w:line="440" w:lineRule="exact"/>
        <w:ind w:firstLine="240"/>
        <w:jc w:val="left"/>
        <w:rPr>
          <w:color w:val="auto"/>
          <w:kern w:val="0"/>
          <w:sz w:val="24"/>
          <w:highlight w:val="none"/>
          <w:lang w:eastAsia="zh-Hans"/>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w:t>
      </w:r>
      <w:r>
        <w:rPr>
          <w:rFonts w:ascii="宋体" w:hAnsi="宋体" w:eastAsia="宋体" w:cs="宋体"/>
          <w:color w:val="auto"/>
          <w:kern w:val="0"/>
          <w:sz w:val="24"/>
          <w:highlight w:val="none"/>
          <w:lang w:eastAsia="zh-Hans"/>
        </w:rPr>
        <w:t>中标人须配合市场监督管理局等部门对食品进行定期或者不定期的抽样检验，如出现中标人仓库配送的食材抽样检验不合格或不符合《中华人民共和国食品安全法》等法律法规规定情形的，若属中标人责任的，一切后果由中标人负责。</w:t>
      </w:r>
      <w:r>
        <w:rPr>
          <w:rFonts w:ascii="宋体" w:hAnsi="宋体" w:eastAsia="宋体" w:cs="宋体"/>
          <w:b/>
          <w:bCs/>
          <w:color w:val="auto"/>
          <w:kern w:val="0"/>
          <w:sz w:val="24"/>
          <w:highlight w:val="none"/>
          <w:u w:val="single"/>
          <w:lang w:eastAsia="zh-Hans"/>
        </w:rPr>
        <w:t>（</w:t>
      </w:r>
      <w:r>
        <w:rPr>
          <w:rFonts w:hint="eastAsia" w:ascii="宋体" w:hAnsi="宋体" w:eastAsia="宋体" w:cs="宋体"/>
          <w:b/>
          <w:bCs/>
          <w:color w:val="auto"/>
          <w:kern w:val="0"/>
          <w:sz w:val="24"/>
          <w:highlight w:val="none"/>
          <w:u w:val="single"/>
        </w:rPr>
        <w:t>评</w:t>
      </w:r>
      <w:r>
        <w:rPr>
          <w:rFonts w:ascii="宋体" w:hAnsi="宋体" w:eastAsia="宋体" w:cs="宋体"/>
          <w:b/>
          <w:bCs/>
          <w:color w:val="auto"/>
          <w:kern w:val="0"/>
          <w:sz w:val="24"/>
          <w:highlight w:val="none"/>
          <w:u w:val="single"/>
          <w:lang w:eastAsia="zh-Hans"/>
        </w:rPr>
        <w:t>审项</w:t>
      </w:r>
      <w:r>
        <w:rPr>
          <w:rFonts w:hint="eastAsia" w:ascii="宋体" w:hAnsi="宋体" w:eastAsia="宋体" w:cs="宋体"/>
          <w:b/>
          <w:bCs/>
          <w:color w:val="auto"/>
          <w:kern w:val="0"/>
          <w:sz w:val="24"/>
          <w:highlight w:val="none"/>
          <w:u w:val="single"/>
          <w:lang w:val="en-US" w:eastAsia="zh-CN"/>
        </w:rPr>
        <w:t>14</w:t>
      </w:r>
      <w:r>
        <w:rPr>
          <w:rFonts w:ascii="宋体" w:hAnsi="宋体" w:eastAsia="宋体" w:cs="宋体"/>
          <w:b/>
          <w:bCs/>
          <w:color w:val="auto"/>
          <w:kern w:val="0"/>
          <w:sz w:val="24"/>
          <w:highlight w:val="none"/>
          <w:u w:val="single"/>
          <w:lang w:eastAsia="zh-Hans"/>
        </w:rPr>
        <w:t>）</w:t>
      </w:r>
    </w:p>
    <w:p w14:paraId="560A9B74">
      <w:pPr>
        <w:widowControl/>
        <w:spacing w:line="440" w:lineRule="exact"/>
        <w:ind w:firstLine="240"/>
        <w:jc w:val="left"/>
        <w:rPr>
          <w:b/>
          <w:bCs/>
          <w:color w:val="auto"/>
          <w:kern w:val="0"/>
          <w:sz w:val="24"/>
          <w:highlight w:val="none"/>
          <w:lang w:eastAsia="zh-Hans"/>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w:t>
      </w:r>
      <w:r>
        <w:rPr>
          <w:rFonts w:ascii="宋体" w:hAnsi="宋体" w:eastAsia="宋体" w:cs="宋体"/>
          <w:color w:val="auto"/>
          <w:kern w:val="0"/>
          <w:sz w:val="24"/>
          <w:highlight w:val="none"/>
          <w:lang w:eastAsia="zh-Hans"/>
        </w:rPr>
        <w:t>根据《产品质量法》、《食品卫生法》相关法规、为保证食品卫生安全，预防食物中毒事故的发生，及时查明食物中毒事故原因，采取有效的救治措施，中标人对提供给采购人的食品物资须按相关规定实行食品留样制度。一旦发生食物中毒或疑似食物中毒事故，应及时提供留样样品，配合卫生监督机构进行调查处理工作，不得有留样样品而不提供或提供不真实的留样样品。影响或干扰事故的调查处理工作。若因中标人原因造成的食物中毒事故，采购人有权终止合同，并没收全部履约保证金，一切后果由中标人负责。</w:t>
      </w:r>
      <w:r>
        <w:rPr>
          <w:rFonts w:ascii="宋体" w:hAnsi="宋体" w:eastAsia="宋体" w:cs="宋体"/>
          <w:b/>
          <w:bCs/>
          <w:color w:val="auto"/>
          <w:kern w:val="0"/>
          <w:sz w:val="24"/>
          <w:highlight w:val="none"/>
          <w:u w:val="single"/>
          <w:lang w:eastAsia="zh-Hans"/>
        </w:rPr>
        <w:t>（</w:t>
      </w:r>
      <w:r>
        <w:rPr>
          <w:rFonts w:hint="eastAsia" w:ascii="宋体" w:hAnsi="宋体" w:eastAsia="宋体" w:cs="宋体"/>
          <w:b/>
          <w:bCs/>
          <w:color w:val="auto"/>
          <w:kern w:val="0"/>
          <w:sz w:val="24"/>
          <w:highlight w:val="none"/>
          <w:u w:val="single"/>
        </w:rPr>
        <w:t>评</w:t>
      </w:r>
      <w:r>
        <w:rPr>
          <w:rFonts w:ascii="宋体" w:hAnsi="宋体" w:eastAsia="宋体" w:cs="宋体"/>
          <w:b/>
          <w:bCs/>
          <w:color w:val="auto"/>
          <w:kern w:val="0"/>
          <w:sz w:val="24"/>
          <w:highlight w:val="none"/>
          <w:u w:val="single"/>
          <w:lang w:eastAsia="zh-Hans"/>
        </w:rPr>
        <w:t>审项</w:t>
      </w:r>
      <w:r>
        <w:rPr>
          <w:rFonts w:hint="eastAsia" w:ascii="宋体" w:hAnsi="宋体" w:eastAsia="宋体" w:cs="宋体"/>
          <w:b/>
          <w:bCs/>
          <w:color w:val="auto"/>
          <w:kern w:val="0"/>
          <w:sz w:val="24"/>
          <w:highlight w:val="none"/>
          <w:u w:val="single"/>
          <w:lang w:val="en-US" w:eastAsia="zh-CN"/>
        </w:rPr>
        <w:t>15</w:t>
      </w:r>
      <w:r>
        <w:rPr>
          <w:rFonts w:ascii="宋体" w:hAnsi="宋体" w:eastAsia="宋体" w:cs="宋体"/>
          <w:b/>
          <w:bCs/>
          <w:color w:val="auto"/>
          <w:kern w:val="0"/>
          <w:sz w:val="24"/>
          <w:highlight w:val="none"/>
          <w:u w:val="single"/>
          <w:lang w:eastAsia="zh-Hans"/>
        </w:rPr>
        <w:t>）</w:t>
      </w:r>
    </w:p>
    <w:p w14:paraId="0C521A83">
      <w:pPr>
        <w:widowControl/>
        <w:spacing w:line="440" w:lineRule="exact"/>
        <w:ind w:firstLine="240"/>
        <w:jc w:val="left"/>
        <w:rPr>
          <w:rFonts w:ascii="宋体" w:hAnsi="宋体" w:eastAsia="宋体" w:cs="宋体"/>
          <w:color w:val="auto"/>
          <w:kern w:val="0"/>
          <w:sz w:val="24"/>
          <w:highlight w:val="none"/>
          <w:u w:val="single"/>
          <w:lang w:eastAsia="zh-Hans"/>
        </w:rPr>
      </w:pPr>
      <w:r>
        <w:rPr>
          <w:rFonts w:hint="eastAsia" w:ascii="宋体" w:hAnsi="宋体" w:eastAsia="宋体" w:cs="宋体"/>
          <w:color w:val="auto"/>
          <w:kern w:val="0"/>
          <w:sz w:val="24"/>
          <w:highlight w:val="none"/>
          <w:lang w:val="en-US" w:eastAsia="zh-CN"/>
        </w:rPr>
        <w:t>17.</w:t>
      </w:r>
      <w:r>
        <w:rPr>
          <w:rFonts w:ascii="宋体" w:hAnsi="宋体" w:eastAsia="宋体" w:cs="宋体"/>
          <w:color w:val="auto"/>
          <w:kern w:val="0"/>
          <w:sz w:val="24"/>
          <w:highlight w:val="none"/>
          <w:lang w:eastAsia="zh-Hans"/>
        </w:rPr>
        <w:t>因中标人未能及时配送到位，影响学生正常用餐投诉次数达到三次以上或在运输过程中出现寄送、托送或中途转运，被发现三次以上的，采购方有权终止合同。在市场监督管理局、教育局检查过程中因发现存在食品安全隐患、未从本地经营场所进行发货和配送等问题的，视检查情况分别相应给予停止食材供校2周、停止食材供校1个月、终止合同。</w:t>
      </w:r>
      <w:r>
        <w:rPr>
          <w:rFonts w:ascii="宋体" w:hAnsi="宋体" w:eastAsia="宋体" w:cs="宋体"/>
          <w:b/>
          <w:bCs/>
          <w:color w:val="auto"/>
          <w:kern w:val="0"/>
          <w:sz w:val="24"/>
          <w:highlight w:val="none"/>
          <w:u w:val="single"/>
          <w:lang w:eastAsia="zh-Hans"/>
        </w:rPr>
        <w:t>（</w:t>
      </w:r>
      <w:r>
        <w:rPr>
          <w:rFonts w:hint="eastAsia" w:ascii="宋体" w:hAnsi="宋体" w:eastAsia="宋体" w:cs="宋体"/>
          <w:b/>
          <w:bCs/>
          <w:color w:val="auto"/>
          <w:kern w:val="0"/>
          <w:sz w:val="24"/>
          <w:highlight w:val="none"/>
          <w:u w:val="single"/>
          <w:lang w:eastAsia="zh-Hans"/>
        </w:rPr>
        <w:t>评</w:t>
      </w:r>
      <w:r>
        <w:rPr>
          <w:rFonts w:ascii="宋体" w:hAnsi="宋体" w:eastAsia="宋体" w:cs="宋体"/>
          <w:b/>
          <w:bCs/>
          <w:color w:val="auto"/>
          <w:kern w:val="0"/>
          <w:sz w:val="24"/>
          <w:highlight w:val="none"/>
          <w:u w:val="single"/>
          <w:lang w:eastAsia="zh-Hans"/>
        </w:rPr>
        <w:t>审项</w:t>
      </w:r>
      <w:r>
        <w:rPr>
          <w:rFonts w:hint="eastAsia" w:ascii="宋体" w:hAnsi="宋体" w:eastAsia="宋体" w:cs="宋体"/>
          <w:b/>
          <w:bCs/>
          <w:color w:val="auto"/>
          <w:kern w:val="0"/>
          <w:sz w:val="24"/>
          <w:highlight w:val="none"/>
          <w:u w:val="single"/>
          <w:lang w:val="en-US" w:eastAsia="zh-CN"/>
        </w:rPr>
        <w:t>16</w:t>
      </w:r>
      <w:r>
        <w:rPr>
          <w:rFonts w:ascii="宋体" w:hAnsi="宋体" w:eastAsia="宋体" w:cs="宋体"/>
          <w:b/>
          <w:bCs/>
          <w:color w:val="auto"/>
          <w:kern w:val="0"/>
          <w:sz w:val="24"/>
          <w:highlight w:val="none"/>
          <w:u w:val="single"/>
          <w:lang w:eastAsia="zh-Hans"/>
        </w:rPr>
        <w:t>）</w:t>
      </w:r>
    </w:p>
    <w:p w14:paraId="79E1B003">
      <w:pPr>
        <w:widowControl/>
        <w:spacing w:line="440" w:lineRule="exact"/>
        <w:ind w:firstLine="240"/>
        <w:jc w:val="left"/>
        <w:rPr>
          <w:rFonts w:ascii="宋体" w:hAnsi="宋体" w:eastAsia="宋体" w:cs="宋体"/>
          <w:color w:val="auto"/>
          <w:kern w:val="0"/>
          <w:sz w:val="24"/>
          <w:highlight w:val="none"/>
        </w:rPr>
      </w:pPr>
      <w:r>
        <w:rPr>
          <w:rFonts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18</w:t>
      </w:r>
      <w:r>
        <w:rPr>
          <w:rFonts w:hint="eastAsia" w:ascii="宋体" w:hAnsi="宋体" w:eastAsia="宋体" w:cs="宋体"/>
          <w:color w:val="auto"/>
          <w:kern w:val="0"/>
          <w:sz w:val="24"/>
          <w:highlight w:val="none"/>
        </w:rPr>
        <w:t>.</w:t>
      </w:r>
      <w:r>
        <w:rPr>
          <w:rFonts w:ascii="宋体" w:hAnsi="宋体" w:eastAsia="宋体" w:cs="宋体"/>
          <w:b/>
          <w:color w:val="auto"/>
          <w:kern w:val="0"/>
          <w:sz w:val="24"/>
          <w:highlight w:val="none"/>
          <w:lang w:eastAsia="zh-Hans"/>
        </w:rPr>
        <w:t>投标人承诺：</w:t>
      </w:r>
      <w:r>
        <w:rPr>
          <w:rFonts w:ascii="宋体" w:hAnsi="宋体" w:eastAsia="宋体" w:cs="宋体"/>
          <w:color w:val="auto"/>
          <w:kern w:val="0"/>
          <w:sz w:val="24"/>
          <w:highlight w:val="none"/>
        </w:rPr>
        <w:t>投标人近两年内未受到过食品安全质量方面</w:t>
      </w:r>
      <w:r>
        <w:rPr>
          <w:rFonts w:hint="eastAsia" w:ascii="宋体" w:hAnsi="宋体" w:eastAsia="宋体" w:cs="宋体"/>
          <w:color w:val="auto"/>
          <w:kern w:val="0"/>
          <w:sz w:val="24"/>
          <w:highlight w:val="none"/>
          <w:lang w:val="en-US" w:eastAsia="zh-CN"/>
        </w:rPr>
        <w:t>重大</w:t>
      </w:r>
      <w:r>
        <w:rPr>
          <w:rFonts w:ascii="宋体" w:hAnsi="宋体" w:eastAsia="宋体" w:cs="宋体"/>
          <w:color w:val="auto"/>
          <w:kern w:val="0"/>
          <w:sz w:val="24"/>
          <w:highlight w:val="none"/>
        </w:rPr>
        <w:t>处罚；</w:t>
      </w:r>
      <w:r>
        <w:rPr>
          <w:rFonts w:ascii="宋体" w:hAnsi="宋体" w:eastAsia="宋体" w:cs="宋体"/>
          <w:color w:val="auto"/>
          <w:kern w:val="0"/>
          <w:sz w:val="24"/>
          <w:highlight w:val="none"/>
          <w:lang w:eastAsia="zh-Hans"/>
        </w:rPr>
        <w:t>[投标人须在投标文件中针对此条款作出</w:t>
      </w:r>
      <w:r>
        <w:rPr>
          <w:rFonts w:hint="eastAsia" w:ascii="宋体" w:hAnsi="宋体" w:eastAsia="宋体" w:cs="宋体"/>
          <w:color w:val="auto"/>
          <w:kern w:val="0"/>
          <w:sz w:val="24"/>
          <w:highlight w:val="none"/>
          <w:lang w:val="en-US" w:eastAsia="zh-CN"/>
        </w:rPr>
        <w:t>专项</w:t>
      </w:r>
      <w:r>
        <w:rPr>
          <w:rFonts w:ascii="宋体" w:hAnsi="宋体" w:eastAsia="宋体" w:cs="宋体"/>
          <w:color w:val="auto"/>
          <w:kern w:val="0"/>
          <w:sz w:val="24"/>
          <w:highlight w:val="none"/>
          <w:lang w:eastAsia="zh-Hans"/>
        </w:rPr>
        <w:t>书面承诺</w:t>
      </w:r>
      <w:r>
        <w:rPr>
          <w:rFonts w:ascii="宋体" w:hAnsi="宋体" w:eastAsia="宋体" w:cs="宋体"/>
          <w:b/>
          <w:bCs/>
          <w:color w:val="auto"/>
          <w:kern w:val="0"/>
          <w:sz w:val="24"/>
          <w:highlight w:val="none"/>
          <w:lang w:eastAsia="zh-Hans"/>
        </w:rPr>
        <w:t>（格式自拟）</w:t>
      </w:r>
      <w:r>
        <w:rPr>
          <w:rFonts w:ascii="宋体" w:hAnsi="宋体" w:eastAsia="宋体" w:cs="宋体"/>
          <w:color w:val="auto"/>
          <w:kern w:val="0"/>
          <w:sz w:val="24"/>
          <w:highlight w:val="none"/>
          <w:lang w:eastAsia="zh-Hans"/>
        </w:rPr>
        <w:t>，否则视为无效投标</w:t>
      </w:r>
      <w:r>
        <w:rPr>
          <w:rFonts w:ascii="宋体" w:hAnsi="宋体" w:eastAsia="宋体" w:cs="宋体"/>
          <w:color w:val="auto"/>
          <w:kern w:val="0"/>
          <w:sz w:val="24"/>
          <w:highlight w:val="none"/>
        </w:rPr>
        <w:t>，也不得提供虚假承诺，否则按虚假应标处理</w:t>
      </w:r>
      <w:r>
        <w:rPr>
          <w:rFonts w:ascii="宋体" w:hAnsi="宋体" w:eastAsia="宋体" w:cs="宋体"/>
          <w:color w:val="auto"/>
          <w:kern w:val="0"/>
          <w:sz w:val="24"/>
          <w:highlight w:val="none"/>
          <w:lang w:eastAsia="zh-Hans"/>
        </w:rPr>
        <w:t>]</w:t>
      </w:r>
      <w:r>
        <w:rPr>
          <w:rFonts w:ascii="宋体" w:hAnsi="宋体" w:eastAsia="宋体" w:cs="宋体"/>
          <w:color w:val="auto"/>
          <w:kern w:val="0"/>
          <w:sz w:val="24"/>
          <w:highlight w:val="none"/>
        </w:rPr>
        <w:t>。</w:t>
      </w:r>
    </w:p>
    <w:p w14:paraId="335D16EF">
      <w:pPr>
        <w:widowControl/>
        <w:spacing w:line="440" w:lineRule="exact"/>
        <w:ind w:firstLine="240"/>
        <w:jc w:val="left"/>
        <w:rPr>
          <w:rFonts w:ascii="宋体" w:hAnsi="宋体" w:eastAsia="宋体" w:cs="宋体"/>
          <w:color w:val="auto"/>
          <w:kern w:val="0"/>
          <w:sz w:val="24"/>
          <w:highlight w:val="none"/>
        </w:rPr>
      </w:pPr>
      <w:r>
        <w:rPr>
          <w:rFonts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19</w:t>
      </w:r>
      <w:r>
        <w:rPr>
          <w:rFonts w:hint="eastAsia" w:ascii="宋体" w:hAnsi="宋体" w:eastAsia="宋体" w:cs="宋体"/>
          <w:color w:val="auto"/>
          <w:kern w:val="0"/>
          <w:sz w:val="24"/>
          <w:highlight w:val="none"/>
        </w:rPr>
        <w:t>.</w:t>
      </w:r>
      <w:r>
        <w:rPr>
          <w:rFonts w:ascii="宋体" w:hAnsi="宋体" w:eastAsia="宋体" w:cs="宋体"/>
          <w:color w:val="auto"/>
          <w:kern w:val="0"/>
          <w:sz w:val="24"/>
          <w:highlight w:val="none"/>
        </w:rPr>
        <w:t>退出机制</w:t>
      </w:r>
    </w:p>
    <w:p w14:paraId="0261B21A">
      <w:pPr>
        <w:widowControl/>
        <w:spacing w:line="440" w:lineRule="exact"/>
        <w:ind w:firstLine="240"/>
        <w:jc w:val="left"/>
        <w:rPr>
          <w:rFonts w:ascii="宋体" w:hAnsi="宋体" w:eastAsia="宋体" w:cs="宋体"/>
          <w:color w:val="auto"/>
          <w:kern w:val="0"/>
          <w:sz w:val="24"/>
          <w:highlight w:val="none"/>
        </w:rPr>
      </w:pPr>
      <w:r>
        <w:rPr>
          <w:rFonts w:ascii="宋体" w:hAnsi="宋体" w:eastAsia="宋体" w:cs="宋体"/>
          <w:color w:val="auto"/>
          <w:kern w:val="0"/>
          <w:sz w:val="24"/>
          <w:highlight w:val="none"/>
        </w:rPr>
        <w:t>中标人有以下情形之一的，处以相应处罚，严重的采购人有权取消其中标资格：</w:t>
      </w:r>
    </w:p>
    <w:p w14:paraId="782C0A17">
      <w:pPr>
        <w:widowControl/>
        <w:spacing w:line="440" w:lineRule="exact"/>
        <w:ind w:firstLine="240"/>
        <w:jc w:val="left"/>
        <w:rPr>
          <w:rFonts w:ascii="宋体" w:hAnsi="宋体" w:eastAsia="宋体" w:cs="宋体"/>
          <w:color w:val="auto"/>
          <w:kern w:val="0"/>
          <w:sz w:val="24"/>
          <w:highlight w:val="none"/>
        </w:rPr>
      </w:pPr>
      <w:r>
        <w:rPr>
          <w:rFonts w:ascii="宋体" w:hAnsi="宋体" w:eastAsia="宋体" w:cs="宋体"/>
          <w:color w:val="auto"/>
          <w:kern w:val="0"/>
          <w:sz w:val="24"/>
          <w:highlight w:val="none"/>
        </w:rPr>
        <w:t>（1）招标投标时以弄虚作假等欺诈手段获得投标资格；</w:t>
      </w:r>
    </w:p>
    <w:p w14:paraId="5934B9C4">
      <w:pPr>
        <w:widowControl/>
        <w:spacing w:line="440" w:lineRule="exact"/>
        <w:ind w:firstLine="240"/>
        <w:jc w:val="left"/>
        <w:rPr>
          <w:rFonts w:ascii="宋体" w:hAnsi="宋体" w:eastAsia="宋体" w:cs="宋体"/>
          <w:color w:val="auto"/>
          <w:kern w:val="0"/>
          <w:sz w:val="24"/>
          <w:highlight w:val="none"/>
        </w:rPr>
      </w:pPr>
      <w:r>
        <w:rPr>
          <w:rFonts w:ascii="宋体" w:hAnsi="宋体" w:eastAsia="宋体" w:cs="宋体"/>
          <w:color w:val="auto"/>
          <w:kern w:val="0"/>
          <w:sz w:val="24"/>
          <w:highlight w:val="none"/>
        </w:rPr>
        <w:t>（2）中标人的经营情况发生变化不符合招标文件要求、投标文件承诺情况以及采购合同签约内容；</w:t>
      </w:r>
    </w:p>
    <w:p w14:paraId="5C662DE9">
      <w:pPr>
        <w:widowControl/>
        <w:spacing w:line="440" w:lineRule="exact"/>
        <w:ind w:firstLine="240"/>
        <w:jc w:val="left"/>
        <w:rPr>
          <w:rFonts w:ascii="宋体" w:hAnsi="宋体" w:eastAsia="宋体" w:cs="宋体"/>
          <w:color w:val="auto"/>
          <w:kern w:val="0"/>
          <w:sz w:val="24"/>
          <w:highlight w:val="none"/>
        </w:rPr>
      </w:pPr>
      <w:r>
        <w:rPr>
          <w:rFonts w:ascii="宋体" w:hAnsi="宋体" w:eastAsia="宋体" w:cs="宋体"/>
          <w:color w:val="auto"/>
          <w:kern w:val="0"/>
          <w:sz w:val="24"/>
          <w:highlight w:val="none"/>
        </w:rPr>
        <w:t>（3）食材供货过程中存在转包或分包行为经规劝整改无效；</w:t>
      </w:r>
    </w:p>
    <w:p w14:paraId="772D9407">
      <w:pPr>
        <w:widowControl/>
        <w:spacing w:line="440" w:lineRule="exact"/>
        <w:ind w:firstLine="240"/>
        <w:jc w:val="left"/>
        <w:rPr>
          <w:rFonts w:ascii="宋体" w:hAnsi="宋体" w:eastAsia="宋体" w:cs="宋体"/>
          <w:color w:val="auto"/>
          <w:kern w:val="0"/>
          <w:sz w:val="24"/>
          <w:highlight w:val="none"/>
        </w:rPr>
      </w:pPr>
      <w:r>
        <w:rPr>
          <w:rFonts w:ascii="宋体" w:hAnsi="宋体" w:eastAsia="宋体" w:cs="宋体"/>
          <w:color w:val="auto"/>
          <w:kern w:val="0"/>
          <w:sz w:val="24"/>
          <w:highlight w:val="none"/>
        </w:rPr>
        <w:t>（4）中标人合同期内综合评价累计出现两次低于合格分数线的等情况。</w:t>
      </w:r>
    </w:p>
    <w:p w14:paraId="655AD237">
      <w:pPr>
        <w:pStyle w:val="8"/>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三、商务要求（以“★”标示的内容为不允许负偏离的实质性要求）</w:t>
      </w:r>
    </w:p>
    <w:p w14:paraId="2159CA07">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03"/>
        <w:gridCol w:w="1516"/>
        <w:gridCol w:w="2076"/>
        <w:gridCol w:w="4674"/>
      </w:tblGrid>
      <w:tr w14:paraId="62B52E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3" w:type="dxa"/>
          </w:tcPr>
          <w:p w14:paraId="2E60400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516" w:type="dxa"/>
          </w:tcPr>
          <w:p w14:paraId="128913B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参数性质</w:t>
            </w:r>
          </w:p>
        </w:tc>
        <w:tc>
          <w:tcPr>
            <w:tcW w:w="2076" w:type="dxa"/>
          </w:tcPr>
          <w:p w14:paraId="3EF8A51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类型</w:t>
            </w:r>
          </w:p>
        </w:tc>
        <w:tc>
          <w:tcPr>
            <w:tcW w:w="4674" w:type="dxa"/>
          </w:tcPr>
          <w:p w14:paraId="297D0CB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要求</w:t>
            </w:r>
          </w:p>
        </w:tc>
      </w:tr>
      <w:tr w14:paraId="5A2D54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3" w:type="dxa"/>
          </w:tcPr>
          <w:p w14:paraId="4195FA8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516" w:type="dxa"/>
          </w:tcPr>
          <w:p w14:paraId="75F64D6D">
            <w:pPr>
              <w:rPr>
                <w:rFonts w:hint="eastAsia" w:asciiTheme="minorEastAsia" w:hAnsiTheme="minorEastAsia" w:eastAsiaTheme="minorEastAsia" w:cstheme="minorEastAsia"/>
                <w:color w:val="auto"/>
                <w:highlight w:val="none"/>
              </w:rPr>
            </w:pPr>
          </w:p>
        </w:tc>
        <w:tc>
          <w:tcPr>
            <w:tcW w:w="2076" w:type="dxa"/>
          </w:tcPr>
          <w:p w14:paraId="159BB9A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交货时间</w:t>
            </w:r>
          </w:p>
        </w:tc>
        <w:tc>
          <w:tcPr>
            <w:tcW w:w="4674" w:type="dxa"/>
          </w:tcPr>
          <w:p w14:paraId="1945B7FB">
            <w:pPr>
              <w:pStyle w:val="8"/>
              <w:jc w:val="left"/>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按合同约定具体时间，服务期壹年</w:t>
            </w:r>
          </w:p>
        </w:tc>
      </w:tr>
      <w:tr w14:paraId="23E002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3" w:type="dxa"/>
          </w:tcPr>
          <w:p w14:paraId="27A8416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p>
        </w:tc>
        <w:tc>
          <w:tcPr>
            <w:tcW w:w="1516" w:type="dxa"/>
          </w:tcPr>
          <w:p w14:paraId="5513E114">
            <w:pPr>
              <w:rPr>
                <w:rFonts w:hint="eastAsia" w:asciiTheme="minorEastAsia" w:hAnsiTheme="minorEastAsia" w:eastAsiaTheme="minorEastAsia" w:cstheme="minorEastAsia"/>
                <w:color w:val="auto"/>
                <w:highlight w:val="none"/>
              </w:rPr>
            </w:pPr>
          </w:p>
        </w:tc>
        <w:tc>
          <w:tcPr>
            <w:tcW w:w="2076" w:type="dxa"/>
          </w:tcPr>
          <w:p w14:paraId="5831AA8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交货地点</w:t>
            </w:r>
          </w:p>
        </w:tc>
        <w:tc>
          <w:tcPr>
            <w:tcW w:w="4674" w:type="dxa"/>
          </w:tcPr>
          <w:p w14:paraId="52EC7FF7">
            <w:pPr>
              <w:pStyle w:val="8"/>
              <w:jc w:val="left"/>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按合同约定，具体以采购项目指定的</w:t>
            </w:r>
            <w:r>
              <w:rPr>
                <w:rFonts w:hint="eastAsia" w:asciiTheme="minorEastAsia" w:hAnsiTheme="minorEastAsia" w:cstheme="minorEastAsia"/>
                <w:color w:val="auto"/>
                <w:highlight w:val="none"/>
                <w:lang w:val="en-US" w:eastAsia="zh-CN"/>
              </w:rPr>
              <w:t>配送学校</w:t>
            </w:r>
            <w:r>
              <w:rPr>
                <w:rFonts w:hint="eastAsia" w:asciiTheme="minorEastAsia" w:hAnsiTheme="minorEastAsia" w:eastAsiaTheme="minorEastAsia" w:cstheme="minorEastAsia"/>
                <w:color w:val="auto"/>
                <w:highlight w:val="none"/>
              </w:rPr>
              <w:t>为准。</w:t>
            </w:r>
          </w:p>
        </w:tc>
      </w:tr>
      <w:tr w14:paraId="61DA8F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3" w:type="dxa"/>
          </w:tcPr>
          <w:p w14:paraId="1440F74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w:t>
            </w:r>
          </w:p>
        </w:tc>
        <w:tc>
          <w:tcPr>
            <w:tcW w:w="1516" w:type="dxa"/>
          </w:tcPr>
          <w:p w14:paraId="23957EE2">
            <w:pPr>
              <w:rPr>
                <w:rFonts w:hint="eastAsia" w:asciiTheme="minorEastAsia" w:hAnsiTheme="minorEastAsia" w:eastAsiaTheme="minorEastAsia" w:cstheme="minorEastAsia"/>
                <w:color w:val="auto"/>
                <w:highlight w:val="none"/>
              </w:rPr>
            </w:pPr>
          </w:p>
        </w:tc>
        <w:tc>
          <w:tcPr>
            <w:tcW w:w="2076" w:type="dxa"/>
          </w:tcPr>
          <w:p w14:paraId="4F5D0067">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交货条件</w:t>
            </w:r>
          </w:p>
        </w:tc>
        <w:tc>
          <w:tcPr>
            <w:tcW w:w="4674" w:type="dxa"/>
          </w:tcPr>
          <w:p w14:paraId="70B03A1D">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原则上每天配送的食材要在每日8点之前送达，若有特殊要求，则以采购人每次发出供货计划通知的时间为准。</w:t>
            </w:r>
          </w:p>
        </w:tc>
      </w:tr>
      <w:tr w14:paraId="74B53D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3" w:type="dxa"/>
          </w:tcPr>
          <w:p w14:paraId="092D184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w:t>
            </w:r>
          </w:p>
        </w:tc>
        <w:tc>
          <w:tcPr>
            <w:tcW w:w="1516" w:type="dxa"/>
          </w:tcPr>
          <w:p w14:paraId="2D482D8C">
            <w:pPr>
              <w:rPr>
                <w:rFonts w:hint="eastAsia" w:asciiTheme="minorEastAsia" w:hAnsiTheme="minorEastAsia" w:eastAsiaTheme="minorEastAsia" w:cstheme="minorEastAsia"/>
                <w:color w:val="auto"/>
                <w:highlight w:val="none"/>
              </w:rPr>
            </w:pPr>
          </w:p>
        </w:tc>
        <w:tc>
          <w:tcPr>
            <w:tcW w:w="2076" w:type="dxa"/>
          </w:tcPr>
          <w:p w14:paraId="00AAEE0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是否邀请投标人验收</w:t>
            </w:r>
          </w:p>
        </w:tc>
        <w:tc>
          <w:tcPr>
            <w:tcW w:w="4674" w:type="dxa"/>
          </w:tcPr>
          <w:p w14:paraId="0644298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不邀请投标人验收</w:t>
            </w:r>
          </w:p>
        </w:tc>
      </w:tr>
      <w:tr w14:paraId="29AA45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3" w:type="dxa"/>
          </w:tcPr>
          <w:p w14:paraId="35DE7F7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w:t>
            </w:r>
          </w:p>
        </w:tc>
        <w:tc>
          <w:tcPr>
            <w:tcW w:w="1516" w:type="dxa"/>
          </w:tcPr>
          <w:p w14:paraId="48DC136C">
            <w:pPr>
              <w:rPr>
                <w:rFonts w:hint="eastAsia" w:asciiTheme="minorEastAsia" w:hAnsiTheme="minorEastAsia" w:eastAsiaTheme="minorEastAsia" w:cstheme="minorEastAsia"/>
                <w:color w:val="auto"/>
                <w:highlight w:val="none"/>
              </w:rPr>
            </w:pPr>
          </w:p>
        </w:tc>
        <w:tc>
          <w:tcPr>
            <w:tcW w:w="2076" w:type="dxa"/>
          </w:tcPr>
          <w:p w14:paraId="0D158DB7">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履约验收方式</w:t>
            </w:r>
          </w:p>
        </w:tc>
        <w:tc>
          <w:tcPr>
            <w:tcW w:w="4674" w:type="dxa"/>
          </w:tcPr>
          <w:p w14:paraId="43C747CD">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期次1，说明：所提供的食品必须符合《中华人民共和国产品质量法》、《中华人民共和国食品卫生法》及国家行业标准的有关规定及采购人的标准要求；符合福建省中小学学校食堂食品安全监督管理办法（试行）、三明市教育局关于印发《三明市中小学学校食堂食品安全监督管理办法实施细则（试行）》的通知（明教规〔2024〕3 号）规定。</w:t>
            </w:r>
          </w:p>
        </w:tc>
      </w:tr>
      <w:tr w14:paraId="2C2655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3" w:type="dxa"/>
          </w:tcPr>
          <w:p w14:paraId="5656347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w:t>
            </w:r>
          </w:p>
        </w:tc>
        <w:tc>
          <w:tcPr>
            <w:tcW w:w="1516" w:type="dxa"/>
          </w:tcPr>
          <w:p w14:paraId="0AC74264">
            <w:pPr>
              <w:rPr>
                <w:rFonts w:hint="eastAsia" w:asciiTheme="minorEastAsia" w:hAnsiTheme="minorEastAsia" w:eastAsiaTheme="minorEastAsia" w:cstheme="minorEastAsia"/>
                <w:color w:val="auto"/>
                <w:highlight w:val="none"/>
              </w:rPr>
            </w:pPr>
          </w:p>
        </w:tc>
        <w:tc>
          <w:tcPr>
            <w:tcW w:w="2076" w:type="dxa"/>
          </w:tcPr>
          <w:p w14:paraId="6BE33E7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合同支付方式</w:t>
            </w:r>
          </w:p>
        </w:tc>
        <w:tc>
          <w:tcPr>
            <w:tcW w:w="4674" w:type="dxa"/>
          </w:tcPr>
          <w:p w14:paraId="00DD9DC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进度款，中标人每月10日前将上月的采购费用发票及采购清单交给各学校，各学校收到发票及采购清单核对无误后，将上月采购费用及时转入中标人提供的银行账号，达到付款条件起30日内，支付合同总金额的100.00%</w:t>
            </w:r>
          </w:p>
        </w:tc>
      </w:tr>
      <w:tr w14:paraId="6B422F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3" w:type="dxa"/>
          </w:tcPr>
          <w:p w14:paraId="343F94A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w:t>
            </w:r>
          </w:p>
        </w:tc>
        <w:tc>
          <w:tcPr>
            <w:tcW w:w="1516" w:type="dxa"/>
          </w:tcPr>
          <w:p w14:paraId="64294985">
            <w:pPr>
              <w:rPr>
                <w:rFonts w:hint="eastAsia" w:asciiTheme="minorEastAsia" w:hAnsiTheme="minorEastAsia" w:eastAsiaTheme="minorEastAsia" w:cstheme="minorEastAsia"/>
                <w:color w:val="auto"/>
                <w:highlight w:val="none"/>
              </w:rPr>
            </w:pPr>
          </w:p>
        </w:tc>
        <w:tc>
          <w:tcPr>
            <w:tcW w:w="2076" w:type="dxa"/>
          </w:tcPr>
          <w:p w14:paraId="638DEA7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履约保证金</w:t>
            </w:r>
          </w:p>
        </w:tc>
        <w:tc>
          <w:tcPr>
            <w:tcW w:w="4674" w:type="dxa"/>
          </w:tcPr>
          <w:p w14:paraId="06A8C12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缴纳, 本采购包履约保证金为合同金额的10%</w:t>
            </w:r>
          </w:p>
          <w:p w14:paraId="615E1DA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缴纳方式：银行转账，支票/汇票/本票，保函/保险</w:t>
            </w:r>
          </w:p>
          <w:p w14:paraId="52D4073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说明：（按年度缴交）中标人在中标公告发布后7日内，必须以银行转账或银行保函或保险保函方式之一向采购人按中标总金额的10% 提交履约保证金。履约金退还时间为服务期满，且在服务期内无违约问题或未处理的售后服务问题，采购人于30日内无息退还。</w:t>
            </w:r>
          </w:p>
        </w:tc>
      </w:tr>
    </w:tbl>
    <w:p w14:paraId="54413D7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其他商务要求</w:t>
      </w:r>
    </w:p>
    <w:p w14:paraId="1079CDE0">
      <w:pPr>
        <w:pStyle w:val="8"/>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9、</w:t>
      </w:r>
      <w:r>
        <w:rPr>
          <w:rFonts w:hint="eastAsia" w:asciiTheme="minorEastAsia" w:hAnsiTheme="minorEastAsia" w:eastAsiaTheme="minorEastAsia" w:cstheme="minorEastAsia"/>
          <w:b/>
          <w:color w:val="auto"/>
          <w:sz w:val="24"/>
          <w:highlight w:val="none"/>
        </w:rPr>
        <w:t>车辆管理产品及物资采购、验收、交货</w:t>
      </w:r>
      <w:r>
        <w:rPr>
          <w:rFonts w:hint="eastAsia" w:asciiTheme="minorEastAsia" w:hAnsiTheme="minorEastAsia" w:eastAsiaTheme="minorEastAsia" w:cstheme="minorEastAsia"/>
          <w:color w:val="auto"/>
          <w:sz w:val="24"/>
          <w:highlight w:val="none"/>
        </w:rPr>
        <w:t>。</w:t>
      </w:r>
    </w:p>
    <w:p w14:paraId="711D18A7">
      <w:pPr>
        <w:pStyle w:val="8"/>
        <w:keepNext w:val="0"/>
        <w:keepLines w:val="0"/>
        <w:pageBreakBefore w:val="0"/>
        <w:widowControl/>
        <w:kinsoku/>
        <w:wordWrap/>
        <w:overflowPunct/>
        <w:topLinePunct w:val="0"/>
        <w:autoSpaceDE/>
        <w:autoSpaceDN/>
        <w:bidi w:val="0"/>
        <w:adjustRightInd/>
        <w:snapToGrid/>
        <w:spacing w:line="360" w:lineRule="auto"/>
        <w:ind w:firstLine="4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9.1食品运输必须采用符合卫生标准的外包装和运载工具，并且要保持清洁和定期消毒。</w:t>
      </w:r>
    </w:p>
    <w:p w14:paraId="760DC1D9">
      <w:pPr>
        <w:pStyle w:val="8"/>
        <w:keepNext w:val="0"/>
        <w:keepLines w:val="0"/>
        <w:pageBreakBefore w:val="0"/>
        <w:widowControl/>
        <w:kinsoku/>
        <w:wordWrap/>
        <w:overflowPunct/>
        <w:topLinePunct w:val="0"/>
        <w:autoSpaceDE/>
        <w:autoSpaceDN/>
        <w:bidi w:val="0"/>
        <w:adjustRightInd/>
        <w:snapToGrid/>
        <w:spacing w:line="360" w:lineRule="auto"/>
        <w:ind w:firstLine="4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9.2中标人应有保证食品安全的完整的送货工作流程，根据采购人事前制定的物资采购计划进行备货。并严格按照物资采购计划单及时间供货，将采购的食品运送到各校园仓库，并负责运输费用，运输车不得混搭本合同外的货物。</w:t>
      </w:r>
    </w:p>
    <w:p w14:paraId="7C6C6FA5">
      <w:pPr>
        <w:pStyle w:val="8"/>
        <w:keepNext w:val="0"/>
        <w:keepLines w:val="0"/>
        <w:pageBreakBefore w:val="0"/>
        <w:widowControl/>
        <w:kinsoku/>
        <w:wordWrap/>
        <w:overflowPunct/>
        <w:topLinePunct w:val="0"/>
        <w:autoSpaceDE/>
        <w:autoSpaceDN/>
        <w:bidi w:val="0"/>
        <w:adjustRightInd/>
        <w:snapToGrid/>
        <w:spacing w:line="360" w:lineRule="auto"/>
        <w:ind w:firstLine="4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9.3卸货前检查：中标人的送货车辆应保持清洁，食品到达现场后，各学校组织人员按照质量要求和购物计划现场验收，</w:t>
      </w:r>
      <w:r>
        <w:rPr>
          <w:rFonts w:hint="eastAsia" w:asciiTheme="minorEastAsia" w:hAnsiTheme="minorEastAsia" w:eastAsiaTheme="minorEastAsia" w:cstheme="minorEastAsia"/>
          <w:color w:val="auto"/>
          <w:sz w:val="24"/>
          <w:highlight w:val="none"/>
          <w:shd w:val="clear"/>
        </w:rPr>
        <w:t>并核对当日</w:t>
      </w:r>
      <w:r>
        <w:rPr>
          <w:rFonts w:hint="eastAsia" w:asciiTheme="minorEastAsia" w:hAnsiTheme="minorEastAsia" w:cstheme="minorEastAsia"/>
          <w:color w:val="auto"/>
          <w:sz w:val="24"/>
          <w:highlight w:val="none"/>
          <w:shd w:val="clear"/>
          <w:lang w:val="en-US" w:eastAsia="zh-CN"/>
        </w:rPr>
        <w:t>配送单</w:t>
      </w:r>
      <w:r>
        <w:rPr>
          <w:rFonts w:hint="eastAsia" w:asciiTheme="minorEastAsia" w:hAnsiTheme="minorEastAsia" w:eastAsiaTheme="minorEastAsia" w:cstheme="minorEastAsia"/>
          <w:color w:val="auto"/>
          <w:sz w:val="24"/>
          <w:highlight w:val="none"/>
          <w:shd w:val="clear"/>
        </w:rPr>
        <w:t>，</w:t>
      </w:r>
      <w:r>
        <w:rPr>
          <w:rFonts w:hint="eastAsia" w:asciiTheme="minorEastAsia" w:hAnsiTheme="minorEastAsia" w:eastAsiaTheme="minorEastAsia" w:cstheme="minorEastAsia"/>
          <w:color w:val="auto"/>
          <w:sz w:val="24"/>
          <w:highlight w:val="none"/>
        </w:rPr>
        <w:t>全部过秤检查或抽查重量。</w:t>
      </w:r>
    </w:p>
    <w:p w14:paraId="767259C5">
      <w:pPr>
        <w:pStyle w:val="8"/>
        <w:keepNext w:val="0"/>
        <w:keepLines w:val="0"/>
        <w:pageBreakBefore w:val="0"/>
        <w:widowControl/>
        <w:kinsoku/>
        <w:wordWrap/>
        <w:overflowPunct/>
        <w:topLinePunct w:val="0"/>
        <w:autoSpaceDE/>
        <w:autoSpaceDN/>
        <w:bidi w:val="0"/>
        <w:adjustRightInd/>
        <w:snapToGrid/>
        <w:spacing w:line="360" w:lineRule="auto"/>
        <w:ind w:firstLine="4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9.4食品包装检查：核对订货汇总单，所送食品是否和所定食品一致，外包装是否清洁，形状是否完整，包装有无严重破损；外包装名称和包装内食品名称是否一致。</w:t>
      </w:r>
    </w:p>
    <w:p w14:paraId="340A7A17">
      <w:pPr>
        <w:pStyle w:val="8"/>
        <w:keepNext w:val="0"/>
        <w:keepLines w:val="0"/>
        <w:pageBreakBefore w:val="0"/>
        <w:widowControl/>
        <w:kinsoku/>
        <w:wordWrap/>
        <w:overflowPunct/>
        <w:topLinePunct w:val="0"/>
        <w:autoSpaceDE/>
        <w:autoSpaceDN/>
        <w:bidi w:val="0"/>
        <w:adjustRightInd/>
        <w:snapToGrid/>
        <w:spacing w:line="360" w:lineRule="auto"/>
        <w:ind w:firstLine="4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9.5食品质量的基本检查：每批货物在规定时间内运达规定地点后，中标人应提供物资注明货号、规格、数量、价格和生产日期的销售清单，并通知采购项目校进行验收。采购项目校检查食品的相关质量指标，包括但不局限于数量、外观、颜色、气味、新鲜度、温度等指标，保证新鲜，不过期、变质现象、食品（除食用油另做要求）剩余保质期在国家规定或产品标识保质期的</w:t>
      </w:r>
      <w:r>
        <w:rPr>
          <w:rFonts w:hint="eastAsia" w:asciiTheme="minorEastAsia" w:hAnsiTheme="minorEastAsia" w:cstheme="minorEastAsia"/>
          <w:color w:val="auto"/>
          <w:sz w:val="24"/>
          <w:highlight w:val="none"/>
          <w:lang w:val="en-US" w:eastAsia="zh-CN"/>
        </w:rPr>
        <w:t>三分二</w:t>
      </w:r>
      <w:r>
        <w:rPr>
          <w:rFonts w:hint="eastAsia" w:asciiTheme="minorEastAsia" w:hAnsiTheme="minorEastAsia" w:eastAsiaTheme="minorEastAsia" w:cstheme="minorEastAsia"/>
          <w:color w:val="auto"/>
          <w:sz w:val="24"/>
          <w:highlight w:val="none"/>
        </w:rPr>
        <w:t>以上的天数；经各学校验收小组判定不合格的食品不退回中标人直接进行无害化处理或销毁。</w:t>
      </w:r>
    </w:p>
    <w:p w14:paraId="51BA2B5F">
      <w:pPr>
        <w:pStyle w:val="8"/>
        <w:keepNext w:val="0"/>
        <w:keepLines w:val="0"/>
        <w:pageBreakBefore w:val="0"/>
        <w:widowControl/>
        <w:kinsoku/>
        <w:wordWrap/>
        <w:overflowPunct/>
        <w:topLinePunct w:val="0"/>
        <w:autoSpaceDE/>
        <w:autoSpaceDN/>
        <w:bidi w:val="0"/>
        <w:adjustRightInd/>
        <w:snapToGrid/>
        <w:spacing w:line="360" w:lineRule="auto"/>
        <w:ind w:firstLine="4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9.6质量处理期：货物验收合格后，采购项目校发现货物存在质量问题时，有权对货物提出有异议的，中标人应在</w:t>
      </w:r>
      <w:r>
        <w:rPr>
          <w:rFonts w:hint="eastAsia" w:asciiTheme="minorEastAsia" w:hAnsiTheme="minorEastAsia" w:eastAsiaTheme="minorEastAsia" w:cstheme="minorEastAsia"/>
          <w:color w:val="auto"/>
          <w:sz w:val="24"/>
          <w:highlight w:val="none"/>
          <w:lang w:val="en-US" w:eastAsia="zh-CN"/>
        </w:rPr>
        <w:t>当日</w:t>
      </w:r>
      <w:r>
        <w:rPr>
          <w:rFonts w:hint="eastAsia" w:asciiTheme="minorEastAsia" w:hAnsiTheme="minorEastAsia" w:eastAsiaTheme="minorEastAsia" w:cstheme="minorEastAsia"/>
          <w:color w:val="auto"/>
          <w:sz w:val="24"/>
          <w:highlight w:val="none"/>
        </w:rPr>
        <w:t>内负责解决。</w:t>
      </w:r>
    </w:p>
    <w:p w14:paraId="6C61CB3A">
      <w:pPr>
        <w:pStyle w:val="8"/>
        <w:keepNext w:val="0"/>
        <w:keepLines w:val="0"/>
        <w:pageBreakBefore w:val="0"/>
        <w:widowControl/>
        <w:kinsoku/>
        <w:wordWrap/>
        <w:overflowPunct/>
        <w:topLinePunct w:val="0"/>
        <w:autoSpaceDE/>
        <w:autoSpaceDN/>
        <w:bidi w:val="0"/>
        <w:adjustRightInd/>
        <w:snapToGrid/>
        <w:spacing w:line="360" w:lineRule="auto"/>
        <w:ind w:firstLine="4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9.7货物经验收合格后，双方授权代表在验收单上签字认定验收合格，中标人需提供验收清单一式二份，采购人与中标人各执一份（原件）。</w:t>
      </w:r>
    </w:p>
    <w:p w14:paraId="2C787DF0">
      <w:pPr>
        <w:pStyle w:val="8"/>
        <w:keepNext w:val="0"/>
        <w:keepLines w:val="0"/>
        <w:pageBreakBefore w:val="0"/>
        <w:widowControl/>
        <w:kinsoku/>
        <w:wordWrap/>
        <w:overflowPunct/>
        <w:topLinePunct w:val="0"/>
        <w:autoSpaceDE/>
        <w:autoSpaceDN/>
        <w:bidi w:val="0"/>
        <w:adjustRightInd/>
        <w:snapToGrid/>
        <w:spacing w:line="360" w:lineRule="auto"/>
        <w:ind w:firstLine="4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9.8货物验收过程及最终检验所产生的费用由中标人承担。</w:t>
      </w:r>
    </w:p>
    <w:p w14:paraId="7E8EE233">
      <w:pPr>
        <w:pStyle w:val="8"/>
        <w:keepNext w:val="0"/>
        <w:keepLines w:val="0"/>
        <w:pageBreakBefore w:val="0"/>
        <w:widowControl/>
        <w:kinsoku/>
        <w:wordWrap/>
        <w:overflowPunct/>
        <w:topLinePunct w:val="0"/>
        <w:autoSpaceDE/>
        <w:autoSpaceDN/>
        <w:bidi w:val="0"/>
        <w:adjustRightInd/>
        <w:snapToGrid/>
        <w:spacing w:line="360" w:lineRule="auto"/>
        <w:ind w:firstLine="240" w:firstLineChars="10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w:t>
      </w:r>
    </w:p>
    <w:p w14:paraId="03A8EF4E">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sz w:val="24"/>
          <w:highlight w:val="none"/>
        </w:rPr>
        <w:t>10、售后及服务要求</w:t>
      </w:r>
    </w:p>
    <w:p w14:paraId="2BF73A8B">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10.1中标人应对此次采购的物资按国家有关标准进行配送，不得短斤少两、以次充好。</w:t>
      </w:r>
    </w:p>
    <w:p w14:paraId="1A8C0B52">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10.2中标人对所提供的产品提供“三包”，对质量不合格产品实行包换、包退，对自然灾害、上级通知停课等不可抗力因素情况，当天预定食材包退。</w:t>
      </w:r>
    </w:p>
    <w:p w14:paraId="091DC11B">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10.3中标人必须定期提供车辆消毒证明。</w:t>
      </w:r>
    </w:p>
    <w:p w14:paraId="246D4CF5">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10.4中标人须按采购人要求将采购物资进行分包、单独包装、加工、否则采购人有权拒收，由此产生的费用由中标人承担。</w:t>
      </w:r>
    </w:p>
    <w:p w14:paraId="5033A971">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10.5中标人应接受采购人意见进行整改、及时退换货、遵守采购人管理制度及相关规定，满足采购人特殊采购模式的需求。</w:t>
      </w:r>
    </w:p>
    <w:p w14:paraId="5661E9F7">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10.6中标人应严格按招标要求（含品种、质量等）供应货物，否则，采购项目校有权退货。</w:t>
      </w:r>
    </w:p>
    <w:p w14:paraId="3A029462">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sz w:val="24"/>
          <w:highlight w:val="none"/>
          <w:shd w:val="clear" w:fill="FFFFFF" w:themeFill="background1"/>
        </w:rPr>
      </w:pPr>
      <w:r>
        <w:rPr>
          <w:rFonts w:hint="eastAsia" w:asciiTheme="minorEastAsia" w:hAnsiTheme="minorEastAsia" w:eastAsiaTheme="minorEastAsia" w:cstheme="minorEastAsia"/>
          <w:color w:val="auto"/>
          <w:sz w:val="24"/>
          <w:highlight w:val="none"/>
        </w:rPr>
        <w:t>10.7因生产商原因停产、改变货物生产</w:t>
      </w:r>
      <w:r>
        <w:rPr>
          <w:rFonts w:hint="eastAsia" w:asciiTheme="minorEastAsia" w:hAnsiTheme="minorEastAsia" w:eastAsiaTheme="minorEastAsia" w:cstheme="minorEastAsia"/>
          <w:color w:val="auto"/>
          <w:sz w:val="24"/>
          <w:highlight w:val="none"/>
          <w:shd w:val="clear" w:fill="FFFFFF" w:themeFill="background1"/>
        </w:rPr>
        <w:t>规格的，中标人凭生产商证明告知</w:t>
      </w:r>
      <w:r>
        <w:rPr>
          <w:rFonts w:hint="eastAsia" w:asciiTheme="minorEastAsia" w:hAnsiTheme="minorEastAsia" w:cstheme="minorEastAsia"/>
          <w:color w:val="auto"/>
          <w:sz w:val="24"/>
          <w:highlight w:val="none"/>
          <w:shd w:val="clear" w:fill="FFFFFF" w:themeFill="background1"/>
          <w:lang w:val="en-US" w:eastAsia="zh-CN"/>
        </w:rPr>
        <w:t>教育局营养办</w:t>
      </w:r>
      <w:r>
        <w:rPr>
          <w:rFonts w:hint="eastAsia" w:asciiTheme="minorEastAsia" w:hAnsiTheme="minorEastAsia" w:eastAsiaTheme="minorEastAsia" w:cstheme="minorEastAsia"/>
          <w:color w:val="auto"/>
          <w:sz w:val="24"/>
          <w:highlight w:val="none"/>
          <w:shd w:val="clear" w:fill="FFFFFF" w:themeFill="background1"/>
        </w:rPr>
        <w:t>，</w:t>
      </w:r>
      <w:r>
        <w:rPr>
          <w:rFonts w:hint="eastAsia" w:asciiTheme="minorEastAsia" w:hAnsiTheme="minorEastAsia" w:cstheme="minorEastAsia"/>
          <w:color w:val="auto"/>
          <w:sz w:val="24"/>
          <w:highlight w:val="none"/>
          <w:shd w:val="clear" w:fill="FFFFFF" w:themeFill="background1"/>
          <w:lang w:val="en-US" w:eastAsia="zh-CN"/>
        </w:rPr>
        <w:t>教育局营养办</w:t>
      </w:r>
      <w:r>
        <w:rPr>
          <w:rFonts w:hint="eastAsia" w:asciiTheme="minorEastAsia" w:hAnsiTheme="minorEastAsia" w:eastAsiaTheme="minorEastAsia" w:cstheme="minorEastAsia"/>
          <w:color w:val="auto"/>
          <w:sz w:val="24"/>
          <w:highlight w:val="none"/>
          <w:shd w:val="clear" w:fill="FFFFFF" w:themeFill="background1"/>
        </w:rPr>
        <w:t>经市场调查确认，选择替换品种、规格，报</w:t>
      </w:r>
      <w:r>
        <w:rPr>
          <w:rFonts w:hint="eastAsia" w:asciiTheme="minorEastAsia" w:hAnsiTheme="minorEastAsia" w:cstheme="minorEastAsia"/>
          <w:color w:val="auto"/>
          <w:sz w:val="24"/>
          <w:highlight w:val="none"/>
          <w:shd w:val="clear" w:fill="FFFFFF" w:themeFill="background1"/>
          <w:lang w:val="en-US" w:eastAsia="zh-CN"/>
        </w:rPr>
        <w:t>局营养办</w:t>
      </w:r>
      <w:r>
        <w:rPr>
          <w:rFonts w:hint="eastAsia" w:asciiTheme="minorEastAsia" w:hAnsiTheme="minorEastAsia" w:eastAsiaTheme="minorEastAsia" w:cstheme="minorEastAsia"/>
          <w:color w:val="auto"/>
          <w:sz w:val="24"/>
          <w:highlight w:val="none"/>
          <w:shd w:val="clear" w:fill="FFFFFF" w:themeFill="background1"/>
        </w:rPr>
        <w:t>备案后与中标人协商后确认更换的品种、规格、价格。</w:t>
      </w:r>
    </w:p>
    <w:p w14:paraId="415A1DD2">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10.8采购项目校按合同对商品进行验收，对不符合规格要求的商品，中标人必须无条件退货或更换。</w:t>
      </w:r>
    </w:p>
    <w:p w14:paraId="2CB5B3AF">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sz w:val="24"/>
          <w:highlight w:val="none"/>
        </w:rPr>
      </w:pPr>
    </w:p>
    <w:p w14:paraId="6C1A4443">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sz w:val="24"/>
          <w:highlight w:val="none"/>
        </w:rPr>
        <w:t>11.违约责任和相关处罚标准</w:t>
      </w:r>
    </w:p>
    <w:p w14:paraId="76570F6C">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11.1短斤少两者经现场验收查出，将按实际数量结算货款。</w:t>
      </w:r>
    </w:p>
    <w:p w14:paraId="292F9C62">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11.2质量未达标，无条件更换至达标。净菜率、净货率达不到要求的，按实际计算，并处相应罚金:第1次1000元，第2次2000元，3次以后采购人可视情处罚4000元并有权终止合同。</w:t>
      </w:r>
    </w:p>
    <w:p w14:paraId="48796369">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11.3供货数量高于计划</w:t>
      </w:r>
      <w:r>
        <w:rPr>
          <w:rFonts w:hint="eastAsia" w:asciiTheme="minorEastAsia" w:hAnsiTheme="minorEastAsia" w:cstheme="minorEastAsia"/>
          <w:color w:val="auto"/>
          <w:sz w:val="24"/>
          <w:highlight w:val="none"/>
          <w:lang w:val="en-US" w:eastAsia="zh-CN"/>
        </w:rPr>
        <w:t>的</w:t>
      </w:r>
      <w:r>
        <w:rPr>
          <w:rFonts w:hint="eastAsia" w:asciiTheme="minorEastAsia" w:hAnsiTheme="minorEastAsia" w:eastAsiaTheme="minorEastAsia" w:cstheme="minorEastAsia"/>
          <w:color w:val="auto"/>
          <w:sz w:val="24"/>
          <w:highlight w:val="none"/>
        </w:rPr>
        <w:t>2％超出部分不予结算，低于2％每次扣300元。</w:t>
      </w:r>
    </w:p>
    <w:p w14:paraId="01A76FEA">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11.4各类商品要求:货物新鲜，不发霉、不变质、不变味、不过期、不掺假、掺杂，不短斤少量。中标人所供应货物的保质期不得少于原二分之一，保证质量、期限。中标人所供的货物已过保质期或变质的，</w:t>
      </w:r>
      <w:r>
        <w:rPr>
          <w:rFonts w:hint="eastAsia" w:asciiTheme="minorEastAsia" w:hAnsiTheme="minorEastAsia" w:eastAsiaTheme="minorEastAsia" w:cstheme="minorEastAsia"/>
          <w:color w:val="auto"/>
          <w:sz w:val="24"/>
          <w:highlight w:val="none"/>
          <w:shd w:val="clear" w:fill="FFFFFF"/>
        </w:rPr>
        <w:t>中标人出现第一次违约，向采购人支付违约金人民币30000元，出现第二次违约，向采购人支付违约金人民币50000元，出现第三次违约，采购人视情况处罚并有权终止合同及没收全部履约保证金。</w:t>
      </w:r>
    </w:p>
    <w:p w14:paraId="6F194CD4">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11.5</w:t>
      </w:r>
      <w:r>
        <w:rPr>
          <w:rFonts w:hint="eastAsia" w:asciiTheme="minorEastAsia" w:hAnsiTheme="minorEastAsia" w:eastAsiaTheme="minorEastAsia" w:cstheme="minorEastAsia"/>
          <w:color w:val="auto"/>
          <w:sz w:val="24"/>
          <w:highlight w:val="none"/>
          <w:shd w:val="clear" w:fill="FFFFFF"/>
        </w:rPr>
        <w:t>中标人提供的物资合格证明材料未随本批次物资同步送达，或中标人供货出现与采购人要求的本批次物资不符时，采购人扣违约金每次人民币1000元，出现多次（三次及以上）扣除违约金人民币5000元。</w:t>
      </w:r>
    </w:p>
    <w:p w14:paraId="6CF1D495">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11.6因中标人违约供货不及时或供货不足或所供产品为残次品等，采购人或配送学校自行采购造成损失将由中标人负责。</w:t>
      </w:r>
    </w:p>
    <w:p w14:paraId="41639A9D">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11.7中标人提供的食品合格证明材料与本批次食品不符时，采购人有权拒收，因此造成采购人没有食品食用，按本批食品合同价值×2的金额给予处罚。</w:t>
      </w:r>
    </w:p>
    <w:p w14:paraId="7E2863FC">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11.8中标人应根据采购人采购计划单供应产品，因天气及市场等特殊原因，允许在征得采购人书面同意的情况下，中标人可以更换品种,更换的品种必须在合同规定范围内；中标人擅自更换供货品种的，处罚金300元。</w:t>
      </w:r>
    </w:p>
    <w:p w14:paraId="740D41CB">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11.9肉类及蔬菜未按照采购人要求进行预处理和粗加工，每发现一次按照当月采购合计金额的5%向采购人支付违约金，直接在采购结算款中扣除</w:t>
      </w:r>
    </w:p>
    <w:p w14:paraId="69DB0D8E">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11.1</w:t>
      </w:r>
      <w:r>
        <w:rPr>
          <w:rFonts w:hint="eastAsia" w:asciiTheme="minorEastAsia" w:hAnsiTheme="minorEastAsia" w:cstheme="minorEastAsia"/>
          <w:color w:val="auto"/>
          <w:sz w:val="24"/>
          <w:highlight w:val="none"/>
          <w:lang w:val="en-US" w:eastAsia="zh-CN"/>
        </w:rPr>
        <w:t>0</w:t>
      </w:r>
      <w:r>
        <w:rPr>
          <w:rFonts w:hint="eastAsia" w:asciiTheme="minorEastAsia" w:hAnsiTheme="minorEastAsia" w:eastAsiaTheme="minorEastAsia" w:cstheme="minorEastAsia"/>
          <w:color w:val="auto"/>
          <w:sz w:val="24"/>
          <w:highlight w:val="none"/>
        </w:rPr>
        <w:t>中标人必须无条件接受市场监督管理等相关部门安全工作检查小组和采购人相关职能部门对食品安全方面的监督管理、检查考核。如因中标人原因造成食物中毒等事件，中标人不仅要承担所有医疗费用、相关部门的罚金及赔偿采购人相关经济损失，同时要承担相关法律责任。</w:t>
      </w:r>
    </w:p>
    <w:p w14:paraId="0F414BEC">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11.1</w:t>
      </w:r>
      <w:r>
        <w:rPr>
          <w:rFonts w:hint="eastAsia" w:asciiTheme="minorEastAsia" w:hAnsi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其它要求：本项目不允许中标人以任何名义和理由进行转包，如有发现，采购人或配送学校有权单方终止合同，视为中标人违约，没收履约保证金。如履约保证金不能弥补中标人违约对采购人造成的损失的，中标人还需另行支付相应的赔偿。本招标文件未明确的其它约定事项或条款，待采购人与中标人签订合同时，由双方协商订立。</w:t>
      </w:r>
    </w:p>
    <w:p w14:paraId="7AABF9BC">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11.1</w:t>
      </w:r>
      <w:r>
        <w:rPr>
          <w:rFonts w:hint="eastAsia" w:asciiTheme="minorEastAsia" w:hAnsi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采购人根据情况不定期组成抽查小组对中标人的供应食材进行抽查，如:配送食材质量、配送车辆卫生、储存环境、食材原料保存方法等方面。采购人对中标人第一次检查不合格，可提出责令整改，若共计三次，采购人对中标人可提出解除合同没收履约保证金。</w:t>
      </w:r>
    </w:p>
    <w:p w14:paraId="33CD6790">
      <w:pPr>
        <w:pStyle w:val="8"/>
        <w:keepNext w:val="0"/>
        <w:keepLines w:val="0"/>
        <w:pageBreakBefore w:val="0"/>
        <w:widowControl/>
        <w:kinsoku/>
        <w:wordWrap/>
        <w:overflowPunct/>
        <w:topLinePunct w:val="0"/>
        <w:autoSpaceDE/>
        <w:autoSpaceDN/>
        <w:bidi w:val="0"/>
        <w:adjustRightInd/>
        <w:snapToGrid/>
        <w:spacing w:line="360" w:lineRule="auto"/>
        <w:ind w:firstLine="24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11.1</w:t>
      </w:r>
      <w:r>
        <w:rPr>
          <w:rFonts w:hint="eastAsia" w:asciiTheme="minorEastAsia" w:hAnsi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如因中标人违约被终止合同，履约保证金将不予退还，还应赔偿采购人相关经济损失，同时要承担相关法律责任。</w:t>
      </w:r>
    </w:p>
    <w:p w14:paraId="32EC4634">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12.报价要求：</w:t>
      </w:r>
    </w:p>
    <w:p w14:paraId="63F29BA5">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投标人以“下浮率”形式进行报价。本项目为电子化投标，电子平台不支持投标下浮率的填写，</w:t>
      </w:r>
      <w:r>
        <w:rPr>
          <w:rFonts w:hint="eastAsia" w:asciiTheme="minorEastAsia" w:hAnsiTheme="minorEastAsia" w:cstheme="minorEastAsia"/>
          <w:color w:val="auto"/>
          <w:sz w:val="24"/>
          <w:highlight w:val="none"/>
          <w:lang w:val="en-US" w:eastAsia="zh-CN"/>
        </w:rPr>
        <w:t>只能填写金额，</w:t>
      </w:r>
      <w:r>
        <w:rPr>
          <w:rFonts w:hint="eastAsia" w:asciiTheme="minorEastAsia" w:hAnsiTheme="minorEastAsia" w:eastAsiaTheme="minorEastAsia" w:cstheme="minorEastAsia"/>
          <w:color w:val="auto"/>
          <w:sz w:val="24"/>
          <w:highlight w:val="none"/>
        </w:rPr>
        <w:t>故本项目以合同包最高投标限价</w:t>
      </w:r>
      <w:r>
        <w:rPr>
          <w:rFonts w:hint="eastAsia" w:asciiTheme="minorEastAsia" w:hAnsiTheme="minorEastAsia" w:cstheme="minorEastAsia"/>
          <w:color w:val="auto"/>
          <w:sz w:val="24"/>
          <w:highlight w:val="none"/>
          <w:lang w:eastAsia="zh-CN"/>
        </w:rPr>
        <w:t>（</w:t>
      </w:r>
      <w:r>
        <w:rPr>
          <w:rFonts w:hint="eastAsia" w:asciiTheme="minorEastAsia" w:hAnsiTheme="minorEastAsia" w:cstheme="minorEastAsia"/>
          <w:color w:val="auto"/>
          <w:sz w:val="24"/>
          <w:highlight w:val="none"/>
          <w:lang w:val="en-US" w:eastAsia="zh-CN"/>
        </w:rPr>
        <w:t>7500000元）</w:t>
      </w:r>
      <w:r>
        <w:rPr>
          <w:rFonts w:hint="eastAsia" w:asciiTheme="minorEastAsia" w:hAnsiTheme="minorEastAsia" w:eastAsiaTheme="minorEastAsia" w:cstheme="minorEastAsia"/>
          <w:color w:val="auto"/>
          <w:sz w:val="24"/>
          <w:highlight w:val="none"/>
        </w:rPr>
        <w:t xml:space="preserve">作为下浮率的填写依据。投标时各投标人电子平台报价= </w:t>
      </w:r>
      <w:r>
        <w:rPr>
          <w:rFonts w:hint="eastAsia" w:asciiTheme="minorEastAsia" w:hAnsiTheme="minorEastAsia" w:cstheme="minorEastAsia"/>
          <w:color w:val="auto"/>
          <w:sz w:val="24"/>
          <w:highlight w:val="none"/>
          <w:lang w:val="en-US" w:eastAsia="zh-CN"/>
        </w:rPr>
        <w:t>7500000元</w:t>
      </w:r>
      <w:r>
        <w:rPr>
          <w:rFonts w:hint="eastAsia" w:asciiTheme="minorEastAsia" w:hAnsiTheme="minorEastAsia" w:eastAsiaTheme="minorEastAsia" w:cstheme="minorEastAsia"/>
          <w:color w:val="auto"/>
          <w:sz w:val="24"/>
          <w:highlight w:val="none"/>
        </w:rPr>
        <w:t>×（1-下浮率）。投标人投标下浮率须与投标人电子投标响应文件中“报价部分”开标一览表中填写的投标下浮率一致，若不一致，以电子平台填写金额计算各投标人的投标下浮率为准。</w:t>
      </w:r>
    </w:p>
    <w:p w14:paraId="029115DB">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例如下浮率为5%，则投标报价金额为</w:t>
      </w:r>
      <w:r>
        <w:rPr>
          <w:rFonts w:hint="eastAsia" w:asciiTheme="minorEastAsia" w:hAnsiTheme="minorEastAsia" w:cstheme="minorEastAsia"/>
          <w:color w:val="auto"/>
          <w:sz w:val="24"/>
          <w:highlight w:val="none"/>
          <w:lang w:val="en-US" w:eastAsia="zh-CN"/>
        </w:rPr>
        <w:t>7500000元</w:t>
      </w:r>
      <w:r>
        <w:rPr>
          <w:rFonts w:hint="eastAsia" w:asciiTheme="minorEastAsia" w:hAnsiTheme="minorEastAsia" w:eastAsiaTheme="minorEastAsia" w:cstheme="minorEastAsia"/>
          <w:color w:val="auto"/>
          <w:sz w:val="24"/>
          <w:highlight w:val="none"/>
        </w:rPr>
        <w:t>×（1-5%）</w:t>
      </w:r>
      <w:r>
        <w:rPr>
          <w:rFonts w:hint="eastAsia" w:asciiTheme="minorEastAsia" w:hAnsiTheme="minorEastAsia" w:cstheme="minorEastAsia"/>
          <w:color w:val="auto"/>
          <w:sz w:val="24"/>
          <w:highlight w:val="none"/>
          <w:lang w:val="en-US" w:eastAsia="zh-CN"/>
        </w:rPr>
        <w:t>=7125000元</w:t>
      </w:r>
      <w:r>
        <w:rPr>
          <w:rFonts w:hint="eastAsia" w:asciiTheme="minorEastAsia" w:hAnsiTheme="minorEastAsia" w:eastAsiaTheme="minorEastAsia" w:cstheme="minorEastAsia"/>
          <w:color w:val="auto"/>
          <w:sz w:val="24"/>
          <w:highlight w:val="none"/>
        </w:rPr>
        <w:t>，在系统上投标报价金额为</w:t>
      </w:r>
      <w:r>
        <w:rPr>
          <w:rFonts w:hint="eastAsia" w:asciiTheme="minorEastAsia" w:hAnsiTheme="minorEastAsia" w:cstheme="minorEastAsia"/>
          <w:color w:val="auto"/>
          <w:sz w:val="24"/>
          <w:highlight w:val="none"/>
          <w:lang w:val="en-US" w:eastAsia="zh-CN"/>
        </w:rPr>
        <w:t>7125000元</w:t>
      </w:r>
      <w:r>
        <w:rPr>
          <w:rFonts w:hint="eastAsia" w:asciiTheme="minorEastAsia" w:hAnsiTheme="minorEastAsia" w:eastAsiaTheme="minorEastAsia" w:cstheme="minorEastAsia"/>
          <w:color w:val="auto"/>
          <w:sz w:val="24"/>
          <w:highlight w:val="none"/>
        </w:rPr>
        <w:t>；</w:t>
      </w:r>
      <w:r>
        <w:rPr>
          <w:rFonts w:hint="eastAsia" w:asciiTheme="minorEastAsia" w:hAnsiTheme="minorEastAsia" w:cstheme="minorEastAsia"/>
          <w:color w:val="auto"/>
          <w:sz w:val="24"/>
          <w:highlight w:val="none"/>
          <w:lang w:val="en-US" w:eastAsia="zh-CN"/>
        </w:rPr>
        <w:t>7125000元</w:t>
      </w:r>
      <w:r>
        <w:rPr>
          <w:rFonts w:hint="eastAsia" w:asciiTheme="minorEastAsia" w:hAnsiTheme="minorEastAsia" w:eastAsiaTheme="minorEastAsia" w:cstheme="minorEastAsia"/>
          <w:color w:val="auto"/>
          <w:sz w:val="24"/>
          <w:highlight w:val="none"/>
        </w:rPr>
        <w:t>只是作为一个下浮系数报价，并以此来计算价格项的得分。</w:t>
      </w:r>
    </w:p>
    <w:p w14:paraId="436E3289">
      <w:pPr>
        <w:pStyle w:val="8"/>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sz w:val="24"/>
          <w:highlight w:val="none"/>
        </w:rPr>
        <w:t>13.其它技术和服务要求</w:t>
      </w:r>
      <w:r>
        <w:rPr>
          <w:rFonts w:hint="eastAsia" w:asciiTheme="minorEastAsia" w:hAnsi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食品安全从业人员须按照防疫部门要求进行从业以及符合《食品安全管理制度》。</w:t>
      </w:r>
    </w:p>
    <w:p w14:paraId="7D569F0F">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b/>
          <w:color w:val="auto"/>
          <w:sz w:val="24"/>
          <w:highlight w:val="none"/>
        </w:rPr>
      </w:pPr>
    </w:p>
    <w:p w14:paraId="2B27BF58">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附：考核标准</w:t>
      </w:r>
    </w:p>
    <w:p w14:paraId="3D0B4B08">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在配送合同期内，学校供餐管理领导小组每</w:t>
      </w:r>
      <w:r>
        <w:rPr>
          <w:rFonts w:hint="eastAsia" w:asciiTheme="minorEastAsia" w:hAnsiTheme="minorEastAsia" w:cstheme="minorEastAsia"/>
          <w:color w:val="auto"/>
          <w:sz w:val="24"/>
          <w:highlight w:val="none"/>
          <w:lang w:val="en-US" w:eastAsia="zh-CN"/>
        </w:rPr>
        <w:t>季度</w:t>
      </w:r>
      <w:r>
        <w:rPr>
          <w:rFonts w:hint="eastAsia" w:asciiTheme="minorEastAsia" w:hAnsiTheme="minorEastAsia" w:eastAsiaTheme="minorEastAsia" w:cstheme="minorEastAsia"/>
          <w:color w:val="auto"/>
          <w:sz w:val="24"/>
          <w:highlight w:val="none"/>
        </w:rPr>
        <w:t>组织相关人员对食材</w:t>
      </w:r>
      <w:r>
        <w:rPr>
          <w:rFonts w:hint="eastAsia" w:asciiTheme="minorEastAsia" w:hAnsiTheme="minorEastAsia" w:cstheme="minorEastAsia"/>
          <w:color w:val="auto"/>
          <w:sz w:val="24"/>
          <w:highlight w:val="none"/>
          <w:lang w:eastAsia="zh-CN"/>
        </w:rPr>
        <w:t>投标人</w:t>
      </w:r>
      <w:r>
        <w:rPr>
          <w:rFonts w:hint="eastAsia" w:asciiTheme="minorEastAsia" w:hAnsiTheme="minorEastAsia" w:eastAsiaTheme="minorEastAsia" w:cstheme="minorEastAsia"/>
          <w:color w:val="auto"/>
          <w:sz w:val="24"/>
          <w:highlight w:val="none"/>
        </w:rPr>
        <w:t>上一个自然月（评分周期）进行综合评价，总分为100分，80分（含）以上为合格。在配送合同期内，供货商累计出现两次低于合格分数线的，当即终止合同、执行退出。</w:t>
      </w:r>
    </w:p>
    <w:p w14:paraId="64208EE7">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1.食品安全和运营管理部分（总分60分，扣完为止，评分周期内不累加）</w:t>
      </w:r>
    </w:p>
    <w:p w14:paraId="45CB885A">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（1）证照超出有效期的，扣25分；</w:t>
      </w:r>
    </w:p>
    <w:p w14:paraId="35B7843D">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（2）证照许可和经营范围与实际情况不一致的，扣25分；</w:t>
      </w:r>
    </w:p>
    <w:p w14:paraId="4BA621D2">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（3）经营直接入口食品的、食品从业人员不具有有效健康证明扣5分；</w:t>
      </w:r>
    </w:p>
    <w:p w14:paraId="624387A8">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（4）抽查发现存在未按照规定准确、规范、完整地将每批次的食品、食用农产品购销信息上传至福建省食品生产经营追溯管理系统、三明市食品安全追溯管理平台的扣5分；</w:t>
      </w:r>
    </w:p>
    <w:p w14:paraId="5880DD88">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（5）抽查发现存在食材的索证票材料（</w:t>
      </w:r>
      <w:r>
        <w:rPr>
          <w:rFonts w:hint="eastAsia" w:asciiTheme="minorEastAsia" w:hAnsiTheme="minorEastAsia" w:cstheme="minorEastAsia"/>
          <w:color w:val="auto"/>
          <w:sz w:val="24"/>
          <w:highlight w:val="none"/>
          <w:lang w:eastAsia="zh-CN"/>
        </w:rPr>
        <w:t>投标人</w:t>
      </w:r>
      <w:r>
        <w:rPr>
          <w:rFonts w:hint="eastAsia" w:asciiTheme="minorEastAsia" w:hAnsiTheme="minorEastAsia" w:eastAsiaTheme="minorEastAsia" w:cstheme="minorEastAsia"/>
          <w:color w:val="auto"/>
          <w:sz w:val="24"/>
          <w:highlight w:val="none"/>
        </w:rPr>
        <w:t>证照、购进凭证、产品合格证明）不齐全或不匹配的扣2分；</w:t>
      </w:r>
    </w:p>
    <w:p w14:paraId="35FFB795">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（6）抽查发现经营场所、贮存场所内存放变质、超过保质期或者感观性状异常的食材扣20分；</w:t>
      </w:r>
    </w:p>
    <w:p w14:paraId="204C3974">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（7）抽查发现预包装食品标签不符合法律法规规定的扣2分；</w:t>
      </w:r>
    </w:p>
    <w:p w14:paraId="2286653D">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（8）向学校食堂配送鲜黄花菜、野生蘑菇、发芽土豆等高风险食品和亚硝酸盐等禁止使用的食品添加剂扣5分；</w:t>
      </w:r>
    </w:p>
    <w:p w14:paraId="4481F047">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9）经营或配送至学校的食材经监督抽检结果不合格或其他食品安全原因被立案调查的，其中，被处以警告处罚的扣2分；被处以0.5万元（不含）以下罚款的扣3分；被处以0.5万元（含）至5万（不含）罚款的扣5分；被处以5万元（含）至10万（不含）罚款的扣8分；被处以10万元（含）以上罚款处罚的扣10分，免予处罚，不扣分；</w:t>
      </w:r>
    </w:p>
    <w:p w14:paraId="454CD5FB">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（10）对学校或相关部门检查发现的食品安全风险隐患未按要求进行整改的扣10分；</w:t>
      </w:r>
    </w:p>
    <w:p w14:paraId="66F245E1">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（11）存在拒绝、阻挠、干涉市场监管部门进行食品安全监督检查情形的，本次食品安全日常管理部分得0分。</w:t>
      </w:r>
    </w:p>
    <w:p w14:paraId="60BD8927">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2.服务质量部分（总分40分，扣完为止，评分周期内扣分可累加）</w:t>
      </w:r>
    </w:p>
    <w:p w14:paraId="644A6CFF">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（1）无特殊情况，配送车辆未按照申报路线行驶的每次扣1分；</w:t>
      </w:r>
    </w:p>
    <w:p w14:paraId="299DAF27">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（2）食材送达超时，超时时间在0.5-1小时的每次扣2分，超时时间在1小时（含）以上的每次扣5分；</w:t>
      </w:r>
    </w:p>
    <w:p w14:paraId="424AF713">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（3）验收发现食材感观性状异常、腐烂霉变、超保质期、果蔬大量萎靡或大量机械外伤的每次扣3分；</w:t>
      </w:r>
    </w:p>
    <w:p w14:paraId="308C6339">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（4）验收发现食材重量不足，不足在3%-5%的每次扣0.5分，超过5%（含）的每次扣1分；</w:t>
      </w:r>
    </w:p>
    <w:p w14:paraId="0C5DC8A6">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（5）验收发现不按指定品牌配送的每次扣5分；</w:t>
      </w:r>
    </w:p>
    <w:p w14:paraId="2EBECF30">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（6）未随货提供产品合格证明文件、供货凭证的每次扣1分；</w:t>
      </w:r>
    </w:p>
    <w:p w14:paraId="56DB0C45">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（7）供货凭证出错，明细缺失、错误、产品分类不清楚，每次扣1分；</w:t>
      </w:r>
    </w:p>
    <w:p w14:paraId="6AC3C7C6">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（8）食材价格不服从市场询价的，每次扣5分；</w:t>
      </w:r>
    </w:p>
    <w:p w14:paraId="7E19E941">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（9）无法响应学校正常要求的，每次扣5分；</w:t>
      </w:r>
    </w:p>
    <w:p w14:paraId="4486ECBE">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（10）服务态度恶劣，影响食堂正常工作的或者存在服务问题拒不整改的，每次扣2分；</w:t>
      </w:r>
    </w:p>
    <w:p w14:paraId="50CEBF9C">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3.一票否决项</w:t>
      </w:r>
    </w:p>
    <w:p w14:paraId="0C0F64EA">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发生以下情形的，当即取消其配送资格：</w:t>
      </w:r>
    </w:p>
    <w:p w14:paraId="2C52C02B">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（1）违反食品安全法律法规，被责令停产停业的，或被吊销《营业执照》或《食品经营许可证》的；</w:t>
      </w:r>
    </w:p>
    <w:p w14:paraId="1E6EB764">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（2）食品</w:t>
      </w:r>
      <w:r>
        <w:rPr>
          <w:rFonts w:hint="eastAsia" w:asciiTheme="minorEastAsia" w:hAnsiTheme="minorEastAsia" w:cstheme="minorEastAsia"/>
          <w:color w:val="auto"/>
          <w:sz w:val="24"/>
          <w:highlight w:val="none"/>
          <w:lang w:eastAsia="zh-CN"/>
        </w:rPr>
        <w:t>投标人</w:t>
      </w:r>
      <w:r>
        <w:rPr>
          <w:rFonts w:hint="eastAsia" w:asciiTheme="minorEastAsia" w:hAnsiTheme="minorEastAsia" w:eastAsiaTheme="minorEastAsia" w:cstheme="minorEastAsia"/>
          <w:color w:val="auto"/>
          <w:sz w:val="24"/>
          <w:highlight w:val="none"/>
        </w:rPr>
        <w:t>法定代表人（经营者或直接负责人）因食品安全犯罪被追究刑事责任的；</w:t>
      </w:r>
    </w:p>
    <w:p w14:paraId="27B67C51">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（3）因食材</w:t>
      </w:r>
      <w:r>
        <w:rPr>
          <w:rFonts w:hint="eastAsia" w:asciiTheme="minorEastAsia" w:hAnsiTheme="minorEastAsia" w:cstheme="minorEastAsia"/>
          <w:color w:val="auto"/>
          <w:sz w:val="24"/>
          <w:highlight w:val="none"/>
          <w:lang w:eastAsia="zh-CN"/>
        </w:rPr>
        <w:t>投标人</w:t>
      </w:r>
      <w:r>
        <w:rPr>
          <w:rFonts w:hint="eastAsia" w:asciiTheme="minorEastAsia" w:hAnsiTheme="minorEastAsia" w:eastAsiaTheme="minorEastAsia" w:cstheme="minorEastAsia"/>
          <w:color w:val="auto"/>
          <w:sz w:val="24"/>
          <w:highlight w:val="none"/>
        </w:rPr>
        <w:t>供应的食材原因发生食品安全事故，造成学生食物中毒或其他食源性疾病的；</w:t>
      </w:r>
    </w:p>
    <w:p w14:paraId="5BAB8A88">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（4）因供应不合格食材或掺假用假，危害学生健康而引起群体性事件，影响恶劣的。</w:t>
      </w:r>
    </w:p>
    <w:p w14:paraId="30EF37E6">
      <w:pPr>
        <w:pStyle w:val="8"/>
        <w:keepNext w:val="0"/>
        <w:keepLines w:val="0"/>
        <w:pageBreakBefore w:val="0"/>
        <w:widowControl/>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color w:val="auto"/>
          <w:sz w:val="44"/>
          <w:szCs w:val="44"/>
          <w:highlight w:val="none"/>
        </w:rPr>
      </w:pPr>
    </w:p>
    <w:p w14:paraId="33B5526F">
      <w:pPr>
        <w:pStyle w:val="8"/>
        <w:keepNext w:val="0"/>
        <w:keepLines w:val="0"/>
        <w:pageBreakBefore w:val="0"/>
        <w:widowControl/>
        <w:kinsoku/>
        <w:wordWrap/>
        <w:overflowPunct/>
        <w:topLinePunct w:val="0"/>
        <w:autoSpaceDE/>
        <w:autoSpaceDN/>
        <w:bidi w:val="0"/>
        <w:adjustRightInd/>
        <w:snapToGrid/>
        <w:spacing w:line="360" w:lineRule="auto"/>
        <w:ind w:firstLine="480"/>
        <w:jc w:val="center"/>
        <w:textAlignment w:val="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食材</w:t>
      </w:r>
      <w:r>
        <w:rPr>
          <w:rFonts w:hint="eastAsia" w:asciiTheme="minorEastAsia" w:hAnsiTheme="minorEastAsia" w:eastAsiaTheme="minorEastAsia" w:cstheme="minorEastAsia"/>
          <w:b/>
          <w:bCs/>
          <w:color w:val="auto"/>
          <w:sz w:val="32"/>
          <w:szCs w:val="32"/>
          <w:highlight w:val="none"/>
          <w:lang w:val="en-US" w:eastAsia="zh-CN"/>
        </w:rPr>
        <w:t>供应商</w:t>
      </w:r>
      <w:r>
        <w:rPr>
          <w:rFonts w:hint="eastAsia" w:asciiTheme="minorEastAsia" w:hAnsiTheme="minorEastAsia" w:eastAsiaTheme="minorEastAsia" w:cstheme="minorEastAsia"/>
          <w:b/>
          <w:bCs/>
          <w:color w:val="auto"/>
          <w:sz w:val="32"/>
          <w:szCs w:val="32"/>
          <w:highlight w:val="none"/>
        </w:rPr>
        <w:t xml:space="preserve">     年   月综合评价表</w:t>
      </w:r>
    </w:p>
    <w:p w14:paraId="5387F03C">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highlight w:val="none"/>
        </w:rPr>
        <w:t>学校：</w:t>
      </w:r>
      <w:r>
        <w:rPr>
          <w:rFonts w:hint="eastAsia" w:asciiTheme="minorEastAsia" w:hAnsiTheme="minorEastAsia" w:eastAsiaTheme="minorEastAsia" w:cstheme="minorEastAsia"/>
          <w:b/>
          <w:color w:val="auto"/>
          <w:sz w:val="24"/>
          <w:highlight w:val="none"/>
          <w:u w:val="single"/>
        </w:rPr>
        <w:t xml:space="preserve">                   </w:t>
      </w:r>
      <w:r>
        <w:rPr>
          <w:rFonts w:hint="eastAsia" w:asciiTheme="minorEastAsia" w:hAnsiTheme="minorEastAsia" w:eastAsiaTheme="minorEastAsia" w:cstheme="minorEastAsia"/>
          <w:b/>
          <w:color w:val="auto"/>
          <w:sz w:val="32"/>
          <w:highlight w:val="none"/>
        </w:rPr>
        <w:t xml:space="preserve">       日期</w:t>
      </w:r>
      <w:r>
        <w:rPr>
          <w:rFonts w:hint="eastAsia" w:asciiTheme="minorEastAsia" w:hAnsiTheme="minorEastAsia" w:eastAsiaTheme="minorEastAsia" w:cstheme="minorEastAsia"/>
          <w:b/>
          <w:color w:val="auto"/>
          <w:sz w:val="24"/>
          <w:highlight w:val="none"/>
          <w:u w:val="single"/>
        </w:rPr>
        <w:t xml:space="preserve">               </w:t>
      </w:r>
    </w:p>
    <w:tbl>
      <w:tblPr>
        <w:tblStyle w:val="5"/>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648"/>
        <w:gridCol w:w="560"/>
        <w:gridCol w:w="826"/>
        <w:gridCol w:w="979"/>
        <w:gridCol w:w="407"/>
        <w:gridCol w:w="1386"/>
        <w:gridCol w:w="12"/>
        <w:gridCol w:w="1472"/>
      </w:tblGrid>
      <w:tr w14:paraId="699275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8"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5438CDA">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食材供应商</w:t>
            </w:r>
          </w:p>
        </w:tc>
        <w:tc>
          <w:tcPr>
            <w:tcW w:w="5082" w:type="dxa"/>
            <w:gridSpan w:val="6"/>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367EF86">
            <w:pPr>
              <w:pStyle w:val="8"/>
              <w:jc w:val="center"/>
              <w:rPr>
                <w:rFonts w:hint="eastAsia" w:asciiTheme="minorEastAsia" w:hAnsiTheme="minorEastAsia" w:eastAsiaTheme="minorEastAsia" w:cstheme="minorEastAsia"/>
                <w:color w:val="auto"/>
                <w:highlight w:val="none"/>
              </w:rPr>
            </w:pPr>
          </w:p>
        </w:tc>
      </w:tr>
      <w:tr w14:paraId="481BE0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90" w:type="dxa"/>
            <w:gridSpan w:val="8"/>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6ABE0B">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食品安全和运营管理部分（总分60分）</w:t>
            </w:r>
          </w:p>
        </w:tc>
      </w:tr>
      <w:tr w14:paraId="25B9CC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7C2FDC">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评价项目</w:t>
            </w:r>
          </w:p>
        </w:tc>
        <w:tc>
          <w:tcPr>
            <w:tcW w:w="3610" w:type="dxa"/>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A1CFDC5">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评价情况</w:t>
            </w:r>
          </w:p>
        </w:tc>
        <w:tc>
          <w:tcPr>
            <w:tcW w:w="147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8356799">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扣分</w:t>
            </w:r>
          </w:p>
        </w:tc>
      </w:tr>
      <w:tr w14:paraId="758F5B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EF48B8">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证照超出有效期的</w:t>
            </w:r>
          </w:p>
        </w:tc>
        <w:tc>
          <w:tcPr>
            <w:tcW w:w="3610"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D81174">
            <w:pPr>
              <w:pStyle w:val="8"/>
              <w:jc w:val="center"/>
              <w:rPr>
                <w:rFonts w:hint="eastAsia" w:asciiTheme="minorEastAsia" w:hAnsiTheme="minorEastAsia" w:eastAsiaTheme="minorEastAsia" w:cstheme="minorEastAsia"/>
                <w:color w:val="auto"/>
                <w:highlight w:val="none"/>
              </w:rPr>
            </w:pPr>
          </w:p>
        </w:tc>
        <w:tc>
          <w:tcPr>
            <w:tcW w:w="1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73AADB">
            <w:pPr>
              <w:rPr>
                <w:rFonts w:hint="eastAsia" w:asciiTheme="minorEastAsia" w:hAnsiTheme="minorEastAsia" w:eastAsiaTheme="minorEastAsia" w:cstheme="minorEastAsia"/>
                <w:color w:val="auto"/>
                <w:highlight w:val="none"/>
              </w:rPr>
            </w:pPr>
          </w:p>
        </w:tc>
      </w:tr>
      <w:tr w14:paraId="70D582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23DFDE">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证照许可和经营范围与实际情况不一致的</w:t>
            </w:r>
          </w:p>
        </w:tc>
        <w:tc>
          <w:tcPr>
            <w:tcW w:w="3610"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5BEB02">
            <w:pPr>
              <w:pStyle w:val="8"/>
              <w:jc w:val="center"/>
              <w:rPr>
                <w:rFonts w:hint="eastAsia" w:asciiTheme="minorEastAsia" w:hAnsiTheme="minorEastAsia" w:eastAsiaTheme="minorEastAsia" w:cstheme="minorEastAsia"/>
                <w:color w:val="auto"/>
                <w:highlight w:val="none"/>
              </w:rPr>
            </w:pPr>
          </w:p>
        </w:tc>
        <w:tc>
          <w:tcPr>
            <w:tcW w:w="1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2D8C79">
            <w:pPr>
              <w:rPr>
                <w:rFonts w:hint="eastAsia" w:asciiTheme="minorEastAsia" w:hAnsiTheme="minorEastAsia" w:eastAsiaTheme="minorEastAsia" w:cstheme="minorEastAsia"/>
                <w:color w:val="auto"/>
                <w:highlight w:val="none"/>
              </w:rPr>
            </w:pPr>
          </w:p>
        </w:tc>
      </w:tr>
      <w:tr w14:paraId="226495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8ECA06">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食品从业人员不具有有效健康证</w:t>
            </w:r>
          </w:p>
        </w:tc>
        <w:tc>
          <w:tcPr>
            <w:tcW w:w="3610"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6E8256">
            <w:pPr>
              <w:pStyle w:val="8"/>
              <w:jc w:val="center"/>
              <w:rPr>
                <w:rFonts w:hint="eastAsia" w:asciiTheme="minorEastAsia" w:hAnsiTheme="minorEastAsia" w:eastAsiaTheme="minorEastAsia" w:cstheme="minorEastAsia"/>
                <w:color w:val="auto"/>
                <w:highlight w:val="none"/>
              </w:rPr>
            </w:pPr>
          </w:p>
        </w:tc>
        <w:tc>
          <w:tcPr>
            <w:tcW w:w="1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C20928">
            <w:pPr>
              <w:rPr>
                <w:rFonts w:hint="eastAsia" w:asciiTheme="minorEastAsia" w:hAnsiTheme="minorEastAsia" w:eastAsiaTheme="minorEastAsia" w:cstheme="minorEastAsia"/>
                <w:color w:val="auto"/>
                <w:highlight w:val="none"/>
              </w:rPr>
            </w:pPr>
          </w:p>
        </w:tc>
      </w:tr>
      <w:tr w14:paraId="4B0883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9160BB">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购销信息无上传追溯管理平台</w:t>
            </w:r>
          </w:p>
        </w:tc>
        <w:tc>
          <w:tcPr>
            <w:tcW w:w="3610"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CEC057">
            <w:pPr>
              <w:pStyle w:val="8"/>
              <w:jc w:val="center"/>
              <w:rPr>
                <w:rFonts w:hint="eastAsia" w:asciiTheme="minorEastAsia" w:hAnsiTheme="minorEastAsia" w:eastAsiaTheme="minorEastAsia" w:cstheme="minorEastAsia"/>
                <w:color w:val="auto"/>
                <w:highlight w:val="none"/>
              </w:rPr>
            </w:pPr>
          </w:p>
        </w:tc>
        <w:tc>
          <w:tcPr>
            <w:tcW w:w="1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A646E3">
            <w:pPr>
              <w:rPr>
                <w:rFonts w:hint="eastAsia" w:asciiTheme="minorEastAsia" w:hAnsiTheme="minorEastAsia" w:eastAsiaTheme="minorEastAsia" w:cstheme="minorEastAsia"/>
                <w:color w:val="auto"/>
                <w:highlight w:val="none"/>
              </w:rPr>
            </w:pPr>
          </w:p>
        </w:tc>
      </w:tr>
      <w:tr w14:paraId="436EEB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A6AED3">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索证票材料不齐全或不匹配</w:t>
            </w:r>
          </w:p>
        </w:tc>
        <w:tc>
          <w:tcPr>
            <w:tcW w:w="3610"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694E00">
            <w:pPr>
              <w:pStyle w:val="8"/>
              <w:jc w:val="center"/>
              <w:rPr>
                <w:rFonts w:hint="eastAsia" w:asciiTheme="minorEastAsia" w:hAnsiTheme="minorEastAsia" w:eastAsiaTheme="minorEastAsia" w:cstheme="minorEastAsia"/>
                <w:color w:val="auto"/>
                <w:highlight w:val="none"/>
              </w:rPr>
            </w:pPr>
          </w:p>
        </w:tc>
        <w:tc>
          <w:tcPr>
            <w:tcW w:w="1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B5EB7D">
            <w:pPr>
              <w:rPr>
                <w:rFonts w:hint="eastAsia" w:asciiTheme="minorEastAsia" w:hAnsiTheme="minorEastAsia" w:eastAsiaTheme="minorEastAsia" w:cstheme="minorEastAsia"/>
                <w:color w:val="auto"/>
                <w:highlight w:val="none"/>
              </w:rPr>
            </w:pPr>
          </w:p>
        </w:tc>
      </w:tr>
      <w:tr w14:paraId="64DCDF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D848A2">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场所存放变质、超过保质期的食材</w:t>
            </w:r>
          </w:p>
        </w:tc>
        <w:tc>
          <w:tcPr>
            <w:tcW w:w="3610"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7F6E52">
            <w:pPr>
              <w:pStyle w:val="8"/>
              <w:jc w:val="center"/>
              <w:rPr>
                <w:rFonts w:hint="eastAsia" w:asciiTheme="minorEastAsia" w:hAnsiTheme="minorEastAsia" w:eastAsiaTheme="minorEastAsia" w:cstheme="minorEastAsia"/>
                <w:color w:val="auto"/>
                <w:highlight w:val="none"/>
              </w:rPr>
            </w:pPr>
          </w:p>
        </w:tc>
        <w:tc>
          <w:tcPr>
            <w:tcW w:w="1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6DE4D8">
            <w:pPr>
              <w:rPr>
                <w:rFonts w:hint="eastAsia" w:asciiTheme="minorEastAsia" w:hAnsiTheme="minorEastAsia" w:eastAsiaTheme="minorEastAsia" w:cstheme="minorEastAsia"/>
                <w:color w:val="auto"/>
                <w:highlight w:val="none"/>
              </w:rPr>
            </w:pPr>
          </w:p>
        </w:tc>
      </w:tr>
      <w:tr w14:paraId="079333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DE8817">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预包装食品标签不符合法律法规规定</w:t>
            </w:r>
          </w:p>
        </w:tc>
        <w:tc>
          <w:tcPr>
            <w:tcW w:w="3610"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A6D157">
            <w:pPr>
              <w:pStyle w:val="8"/>
              <w:jc w:val="center"/>
              <w:rPr>
                <w:rFonts w:hint="eastAsia" w:asciiTheme="minorEastAsia" w:hAnsiTheme="minorEastAsia" w:eastAsiaTheme="minorEastAsia" w:cstheme="minorEastAsia"/>
                <w:color w:val="auto"/>
                <w:highlight w:val="none"/>
              </w:rPr>
            </w:pPr>
          </w:p>
        </w:tc>
        <w:tc>
          <w:tcPr>
            <w:tcW w:w="1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96C967">
            <w:pPr>
              <w:rPr>
                <w:rFonts w:hint="eastAsia" w:asciiTheme="minorEastAsia" w:hAnsiTheme="minorEastAsia" w:eastAsiaTheme="minorEastAsia" w:cstheme="minorEastAsia"/>
                <w:color w:val="auto"/>
                <w:highlight w:val="none"/>
              </w:rPr>
            </w:pPr>
          </w:p>
        </w:tc>
      </w:tr>
      <w:tr w14:paraId="33D993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AB80B0">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配送转基因食品</w:t>
            </w:r>
          </w:p>
        </w:tc>
        <w:tc>
          <w:tcPr>
            <w:tcW w:w="3610"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3019F5">
            <w:pPr>
              <w:pStyle w:val="8"/>
              <w:jc w:val="center"/>
              <w:rPr>
                <w:rFonts w:hint="eastAsia" w:asciiTheme="minorEastAsia" w:hAnsiTheme="minorEastAsia" w:eastAsiaTheme="minorEastAsia" w:cstheme="minorEastAsia"/>
                <w:color w:val="auto"/>
                <w:highlight w:val="none"/>
              </w:rPr>
            </w:pPr>
          </w:p>
        </w:tc>
        <w:tc>
          <w:tcPr>
            <w:tcW w:w="1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12A9AC">
            <w:pPr>
              <w:rPr>
                <w:rFonts w:hint="eastAsia" w:asciiTheme="minorEastAsia" w:hAnsiTheme="minorEastAsia" w:eastAsiaTheme="minorEastAsia" w:cstheme="minorEastAsia"/>
                <w:color w:val="auto"/>
                <w:highlight w:val="none"/>
              </w:rPr>
            </w:pPr>
          </w:p>
        </w:tc>
      </w:tr>
      <w:tr w14:paraId="10EA5B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748B37">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配送高风险食品和亚硝酸盐等禁止使用的食品添加剂</w:t>
            </w:r>
          </w:p>
        </w:tc>
        <w:tc>
          <w:tcPr>
            <w:tcW w:w="3610"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022319">
            <w:pPr>
              <w:pStyle w:val="8"/>
              <w:jc w:val="center"/>
              <w:rPr>
                <w:rFonts w:hint="eastAsia" w:asciiTheme="minorEastAsia" w:hAnsiTheme="minorEastAsia" w:eastAsiaTheme="minorEastAsia" w:cstheme="minorEastAsia"/>
                <w:color w:val="auto"/>
                <w:highlight w:val="none"/>
              </w:rPr>
            </w:pPr>
          </w:p>
        </w:tc>
        <w:tc>
          <w:tcPr>
            <w:tcW w:w="1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08B796">
            <w:pPr>
              <w:rPr>
                <w:rFonts w:hint="eastAsia" w:asciiTheme="minorEastAsia" w:hAnsiTheme="minorEastAsia" w:eastAsiaTheme="minorEastAsia" w:cstheme="minorEastAsia"/>
                <w:color w:val="auto"/>
                <w:highlight w:val="none"/>
              </w:rPr>
            </w:pPr>
          </w:p>
        </w:tc>
      </w:tr>
      <w:tr w14:paraId="1D53C6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8D4E1C">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抽检结果不合格或其他食品安全原因被立案调查</w:t>
            </w:r>
          </w:p>
        </w:tc>
        <w:tc>
          <w:tcPr>
            <w:tcW w:w="3610"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BE4A4C">
            <w:pPr>
              <w:pStyle w:val="8"/>
              <w:jc w:val="center"/>
              <w:rPr>
                <w:rFonts w:hint="eastAsia" w:asciiTheme="minorEastAsia" w:hAnsiTheme="minorEastAsia" w:eastAsiaTheme="minorEastAsia" w:cstheme="minorEastAsia"/>
                <w:color w:val="auto"/>
                <w:highlight w:val="none"/>
              </w:rPr>
            </w:pPr>
          </w:p>
        </w:tc>
        <w:tc>
          <w:tcPr>
            <w:tcW w:w="1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11D934">
            <w:pPr>
              <w:rPr>
                <w:rFonts w:hint="eastAsia" w:asciiTheme="minorEastAsia" w:hAnsiTheme="minorEastAsia" w:eastAsiaTheme="minorEastAsia" w:cstheme="minorEastAsia"/>
                <w:color w:val="auto"/>
                <w:highlight w:val="none"/>
              </w:rPr>
            </w:pPr>
          </w:p>
        </w:tc>
      </w:tr>
      <w:tr w14:paraId="78E7D7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90D04D">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食品安全风险隐患未按要求整改</w:t>
            </w:r>
          </w:p>
        </w:tc>
        <w:tc>
          <w:tcPr>
            <w:tcW w:w="3610"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BC581A">
            <w:pPr>
              <w:pStyle w:val="8"/>
              <w:jc w:val="center"/>
              <w:rPr>
                <w:rFonts w:hint="eastAsia" w:asciiTheme="minorEastAsia" w:hAnsiTheme="minorEastAsia" w:eastAsiaTheme="minorEastAsia" w:cstheme="minorEastAsia"/>
                <w:color w:val="auto"/>
                <w:highlight w:val="none"/>
              </w:rPr>
            </w:pPr>
          </w:p>
        </w:tc>
        <w:tc>
          <w:tcPr>
            <w:tcW w:w="1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96240A">
            <w:pPr>
              <w:rPr>
                <w:rFonts w:hint="eastAsia" w:asciiTheme="minorEastAsia" w:hAnsiTheme="minorEastAsia" w:eastAsiaTheme="minorEastAsia" w:cstheme="minorEastAsia"/>
                <w:color w:val="auto"/>
                <w:highlight w:val="none"/>
              </w:rPr>
            </w:pPr>
          </w:p>
        </w:tc>
      </w:tr>
      <w:tr w14:paraId="70F48F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6BF3B7">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拒绝、阻挠、干涉市场监管部门</w:t>
            </w:r>
          </w:p>
        </w:tc>
        <w:tc>
          <w:tcPr>
            <w:tcW w:w="3610"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9EE639">
            <w:pPr>
              <w:pStyle w:val="8"/>
              <w:jc w:val="center"/>
              <w:rPr>
                <w:rFonts w:hint="eastAsia" w:asciiTheme="minorEastAsia" w:hAnsiTheme="minorEastAsia" w:eastAsiaTheme="minorEastAsia" w:cstheme="minorEastAsia"/>
                <w:color w:val="auto"/>
                <w:highlight w:val="none"/>
              </w:rPr>
            </w:pPr>
          </w:p>
        </w:tc>
        <w:tc>
          <w:tcPr>
            <w:tcW w:w="14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3DDEDC">
            <w:pPr>
              <w:rPr>
                <w:rFonts w:hint="eastAsia" w:asciiTheme="minorEastAsia" w:hAnsiTheme="minorEastAsia" w:eastAsiaTheme="minorEastAsia" w:cstheme="minorEastAsia"/>
                <w:color w:val="auto"/>
                <w:highlight w:val="none"/>
              </w:rPr>
            </w:pPr>
          </w:p>
        </w:tc>
      </w:tr>
      <w:tr w14:paraId="1CCE5D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3"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377DBF">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食品安全日常管理得分：</w:t>
            </w:r>
          </w:p>
        </w:tc>
        <w:tc>
          <w:tcPr>
            <w:tcW w:w="327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287E52">
            <w:pPr>
              <w:pStyle w:val="8"/>
              <w:jc w:val="center"/>
              <w:rPr>
                <w:rFonts w:hint="eastAsia" w:asciiTheme="minorEastAsia" w:hAnsiTheme="minorEastAsia" w:eastAsiaTheme="minorEastAsia" w:cstheme="minorEastAsia"/>
                <w:color w:val="auto"/>
                <w:highlight w:val="none"/>
              </w:rPr>
            </w:pPr>
          </w:p>
        </w:tc>
      </w:tr>
      <w:tr w14:paraId="432E35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89" w:type="dxa"/>
            <w:gridSpan w:val="8"/>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932F1EE">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服务质量部分（总分40分）</w:t>
            </w:r>
          </w:p>
        </w:tc>
      </w:tr>
      <w:tr w14:paraId="115C89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EDB86C">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评价项目</w:t>
            </w:r>
          </w:p>
        </w:tc>
        <w:tc>
          <w:tcPr>
            <w:tcW w:w="2772" w:type="dxa"/>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DE977D4">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评价情况</w:t>
            </w:r>
          </w:p>
        </w:tc>
        <w:tc>
          <w:tcPr>
            <w:tcW w:w="1483"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F5B634C">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扣分</w:t>
            </w:r>
          </w:p>
        </w:tc>
      </w:tr>
      <w:tr w14:paraId="65FDC7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4B58C5">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配送车辆未按照申报路线行驶</w:t>
            </w:r>
          </w:p>
        </w:tc>
        <w:tc>
          <w:tcPr>
            <w:tcW w:w="2772"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227628">
            <w:pPr>
              <w:pStyle w:val="8"/>
              <w:jc w:val="center"/>
              <w:rPr>
                <w:rFonts w:hint="eastAsia" w:asciiTheme="minorEastAsia" w:hAnsiTheme="minorEastAsia" w:eastAsiaTheme="minorEastAsia" w:cstheme="minorEastAsia"/>
                <w:color w:val="auto"/>
                <w:highlight w:val="none"/>
              </w:rPr>
            </w:pPr>
          </w:p>
        </w:tc>
        <w:tc>
          <w:tcPr>
            <w:tcW w:w="148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1E9451">
            <w:pPr>
              <w:rPr>
                <w:rFonts w:hint="eastAsia" w:asciiTheme="minorEastAsia" w:hAnsiTheme="minorEastAsia" w:eastAsiaTheme="minorEastAsia" w:cstheme="minorEastAsia"/>
                <w:color w:val="auto"/>
                <w:highlight w:val="none"/>
              </w:rPr>
            </w:pPr>
          </w:p>
        </w:tc>
      </w:tr>
      <w:tr w14:paraId="185719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0FEBCC">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食材送达超时</w:t>
            </w:r>
          </w:p>
        </w:tc>
        <w:tc>
          <w:tcPr>
            <w:tcW w:w="2772"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B5B977">
            <w:pPr>
              <w:pStyle w:val="8"/>
              <w:jc w:val="center"/>
              <w:rPr>
                <w:rFonts w:hint="eastAsia" w:asciiTheme="minorEastAsia" w:hAnsiTheme="minorEastAsia" w:eastAsiaTheme="minorEastAsia" w:cstheme="minorEastAsia"/>
                <w:color w:val="auto"/>
                <w:highlight w:val="none"/>
              </w:rPr>
            </w:pPr>
          </w:p>
        </w:tc>
        <w:tc>
          <w:tcPr>
            <w:tcW w:w="148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FA35CE">
            <w:pPr>
              <w:rPr>
                <w:rFonts w:hint="eastAsia" w:asciiTheme="minorEastAsia" w:hAnsiTheme="minorEastAsia" w:eastAsiaTheme="minorEastAsia" w:cstheme="minorEastAsia"/>
                <w:color w:val="auto"/>
                <w:highlight w:val="none"/>
              </w:rPr>
            </w:pPr>
          </w:p>
        </w:tc>
      </w:tr>
      <w:tr w14:paraId="00A893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FFC9E8">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验收质量不合格</w:t>
            </w:r>
          </w:p>
        </w:tc>
        <w:tc>
          <w:tcPr>
            <w:tcW w:w="2772"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A57CD8">
            <w:pPr>
              <w:pStyle w:val="8"/>
              <w:jc w:val="center"/>
              <w:rPr>
                <w:rFonts w:hint="eastAsia" w:asciiTheme="minorEastAsia" w:hAnsiTheme="minorEastAsia" w:eastAsiaTheme="minorEastAsia" w:cstheme="minorEastAsia"/>
                <w:color w:val="auto"/>
                <w:highlight w:val="none"/>
              </w:rPr>
            </w:pPr>
          </w:p>
        </w:tc>
        <w:tc>
          <w:tcPr>
            <w:tcW w:w="148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C5263D">
            <w:pPr>
              <w:rPr>
                <w:rFonts w:hint="eastAsia" w:asciiTheme="minorEastAsia" w:hAnsiTheme="minorEastAsia" w:eastAsiaTheme="minorEastAsia" w:cstheme="minorEastAsia"/>
                <w:color w:val="auto"/>
                <w:highlight w:val="none"/>
              </w:rPr>
            </w:pPr>
          </w:p>
        </w:tc>
      </w:tr>
      <w:tr w14:paraId="3BA8EB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34348A">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验收食材重量不足</w:t>
            </w:r>
          </w:p>
        </w:tc>
        <w:tc>
          <w:tcPr>
            <w:tcW w:w="2772"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02710B">
            <w:pPr>
              <w:pStyle w:val="8"/>
              <w:jc w:val="center"/>
              <w:rPr>
                <w:rFonts w:hint="eastAsia" w:asciiTheme="minorEastAsia" w:hAnsiTheme="minorEastAsia" w:eastAsiaTheme="minorEastAsia" w:cstheme="minorEastAsia"/>
                <w:color w:val="auto"/>
                <w:highlight w:val="none"/>
              </w:rPr>
            </w:pPr>
          </w:p>
        </w:tc>
        <w:tc>
          <w:tcPr>
            <w:tcW w:w="148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440F31">
            <w:pPr>
              <w:rPr>
                <w:rFonts w:hint="eastAsia" w:asciiTheme="minorEastAsia" w:hAnsiTheme="minorEastAsia" w:eastAsiaTheme="minorEastAsia" w:cstheme="minorEastAsia"/>
                <w:color w:val="auto"/>
                <w:highlight w:val="none"/>
              </w:rPr>
            </w:pPr>
          </w:p>
        </w:tc>
      </w:tr>
      <w:tr w14:paraId="0A44BD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8D1E2C">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验收发现不按指定品牌配送</w:t>
            </w:r>
          </w:p>
        </w:tc>
        <w:tc>
          <w:tcPr>
            <w:tcW w:w="2772"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603F16">
            <w:pPr>
              <w:pStyle w:val="8"/>
              <w:jc w:val="center"/>
              <w:rPr>
                <w:rFonts w:hint="eastAsia" w:asciiTheme="minorEastAsia" w:hAnsiTheme="minorEastAsia" w:eastAsiaTheme="minorEastAsia" w:cstheme="minorEastAsia"/>
                <w:color w:val="auto"/>
                <w:highlight w:val="none"/>
              </w:rPr>
            </w:pPr>
          </w:p>
        </w:tc>
        <w:tc>
          <w:tcPr>
            <w:tcW w:w="148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A3901B">
            <w:pPr>
              <w:rPr>
                <w:rFonts w:hint="eastAsia" w:asciiTheme="minorEastAsia" w:hAnsiTheme="minorEastAsia" w:eastAsiaTheme="minorEastAsia" w:cstheme="minorEastAsia"/>
                <w:color w:val="auto"/>
                <w:highlight w:val="none"/>
              </w:rPr>
            </w:pPr>
          </w:p>
        </w:tc>
      </w:tr>
      <w:tr w14:paraId="738A22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16D42E">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未随货提供产品合格证明文件、供货凭证</w:t>
            </w:r>
          </w:p>
        </w:tc>
        <w:tc>
          <w:tcPr>
            <w:tcW w:w="2772"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A14100">
            <w:pPr>
              <w:pStyle w:val="8"/>
              <w:jc w:val="center"/>
              <w:rPr>
                <w:rFonts w:hint="eastAsia" w:asciiTheme="minorEastAsia" w:hAnsiTheme="minorEastAsia" w:eastAsiaTheme="minorEastAsia" w:cstheme="minorEastAsia"/>
                <w:color w:val="auto"/>
                <w:highlight w:val="none"/>
              </w:rPr>
            </w:pPr>
          </w:p>
        </w:tc>
        <w:tc>
          <w:tcPr>
            <w:tcW w:w="148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1CA01F">
            <w:pPr>
              <w:rPr>
                <w:rFonts w:hint="eastAsia" w:asciiTheme="minorEastAsia" w:hAnsiTheme="minorEastAsia" w:eastAsiaTheme="minorEastAsia" w:cstheme="minorEastAsia"/>
                <w:color w:val="auto"/>
                <w:highlight w:val="none"/>
              </w:rPr>
            </w:pPr>
          </w:p>
        </w:tc>
      </w:tr>
      <w:tr w14:paraId="1CE7DE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C9D0D2">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供货凭证出错，明细缺失</w:t>
            </w:r>
          </w:p>
        </w:tc>
        <w:tc>
          <w:tcPr>
            <w:tcW w:w="2772"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E14815">
            <w:pPr>
              <w:pStyle w:val="8"/>
              <w:jc w:val="center"/>
              <w:rPr>
                <w:rFonts w:hint="eastAsia" w:asciiTheme="minorEastAsia" w:hAnsiTheme="minorEastAsia" w:eastAsiaTheme="minorEastAsia" w:cstheme="minorEastAsia"/>
                <w:color w:val="auto"/>
                <w:highlight w:val="none"/>
              </w:rPr>
            </w:pPr>
          </w:p>
        </w:tc>
        <w:tc>
          <w:tcPr>
            <w:tcW w:w="148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4C0E3E">
            <w:pPr>
              <w:rPr>
                <w:rFonts w:hint="eastAsia" w:asciiTheme="minorEastAsia" w:hAnsiTheme="minorEastAsia" w:eastAsiaTheme="minorEastAsia" w:cstheme="minorEastAsia"/>
                <w:color w:val="auto"/>
                <w:highlight w:val="none"/>
              </w:rPr>
            </w:pPr>
          </w:p>
        </w:tc>
      </w:tr>
      <w:tr w14:paraId="603394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2D00F9">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食材价格不服从市场询价</w:t>
            </w:r>
          </w:p>
        </w:tc>
        <w:tc>
          <w:tcPr>
            <w:tcW w:w="2772"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785C46">
            <w:pPr>
              <w:pStyle w:val="8"/>
              <w:jc w:val="center"/>
              <w:rPr>
                <w:rFonts w:hint="eastAsia" w:asciiTheme="minorEastAsia" w:hAnsiTheme="minorEastAsia" w:eastAsiaTheme="minorEastAsia" w:cstheme="minorEastAsia"/>
                <w:color w:val="auto"/>
                <w:highlight w:val="none"/>
              </w:rPr>
            </w:pPr>
          </w:p>
        </w:tc>
        <w:tc>
          <w:tcPr>
            <w:tcW w:w="148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0A2599">
            <w:pPr>
              <w:rPr>
                <w:rFonts w:hint="eastAsia" w:asciiTheme="minorEastAsia" w:hAnsiTheme="minorEastAsia" w:eastAsiaTheme="minorEastAsia" w:cstheme="minorEastAsia"/>
                <w:color w:val="auto"/>
                <w:highlight w:val="none"/>
              </w:rPr>
            </w:pPr>
          </w:p>
        </w:tc>
      </w:tr>
      <w:tr w14:paraId="7951CB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78EE4C">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无法正常响应学校要求的</w:t>
            </w:r>
          </w:p>
        </w:tc>
        <w:tc>
          <w:tcPr>
            <w:tcW w:w="2772"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62C1FA">
            <w:pPr>
              <w:pStyle w:val="8"/>
              <w:jc w:val="center"/>
              <w:rPr>
                <w:rFonts w:hint="eastAsia" w:asciiTheme="minorEastAsia" w:hAnsiTheme="minorEastAsia" w:eastAsiaTheme="minorEastAsia" w:cstheme="minorEastAsia"/>
                <w:color w:val="auto"/>
                <w:highlight w:val="none"/>
              </w:rPr>
            </w:pPr>
          </w:p>
        </w:tc>
        <w:tc>
          <w:tcPr>
            <w:tcW w:w="148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2E371A">
            <w:pPr>
              <w:rPr>
                <w:rFonts w:hint="eastAsia" w:asciiTheme="minorEastAsia" w:hAnsiTheme="minorEastAsia" w:eastAsiaTheme="minorEastAsia" w:cstheme="minorEastAsia"/>
                <w:color w:val="auto"/>
                <w:highlight w:val="none"/>
              </w:rPr>
            </w:pPr>
          </w:p>
        </w:tc>
      </w:tr>
      <w:tr w14:paraId="0382D2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4"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3E7678">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服务态度恶劣</w:t>
            </w:r>
          </w:p>
        </w:tc>
        <w:tc>
          <w:tcPr>
            <w:tcW w:w="2772"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FAEC06">
            <w:pPr>
              <w:pStyle w:val="8"/>
              <w:jc w:val="center"/>
              <w:rPr>
                <w:rFonts w:hint="eastAsia" w:asciiTheme="minorEastAsia" w:hAnsiTheme="minorEastAsia" w:eastAsiaTheme="minorEastAsia" w:cstheme="minorEastAsia"/>
                <w:color w:val="auto"/>
                <w:highlight w:val="none"/>
              </w:rPr>
            </w:pPr>
          </w:p>
        </w:tc>
        <w:tc>
          <w:tcPr>
            <w:tcW w:w="148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7B54B8">
            <w:pPr>
              <w:rPr>
                <w:rFonts w:hint="eastAsia" w:asciiTheme="minorEastAsia" w:hAnsiTheme="minorEastAsia" w:eastAsiaTheme="minorEastAsia" w:cstheme="minorEastAsia"/>
                <w:color w:val="auto"/>
                <w:highlight w:val="none"/>
              </w:rPr>
            </w:pPr>
          </w:p>
        </w:tc>
      </w:tr>
      <w:tr w14:paraId="2A3017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20"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BF5C97">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服务质量得分：</w:t>
            </w:r>
          </w:p>
        </w:tc>
        <w:tc>
          <w:tcPr>
            <w:tcW w:w="2869"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4C7E87">
            <w:pPr>
              <w:pStyle w:val="8"/>
              <w:jc w:val="center"/>
              <w:rPr>
                <w:rFonts w:hint="eastAsia" w:asciiTheme="minorEastAsia" w:hAnsiTheme="minorEastAsia" w:eastAsiaTheme="minorEastAsia" w:cstheme="minorEastAsia"/>
                <w:color w:val="auto"/>
                <w:highlight w:val="none"/>
              </w:rPr>
            </w:pPr>
          </w:p>
        </w:tc>
      </w:tr>
      <w:tr w14:paraId="33032E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89" w:type="dxa"/>
            <w:gridSpan w:val="8"/>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A54A7A">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一票否决项</w:t>
            </w:r>
          </w:p>
        </w:tc>
      </w:tr>
      <w:tr w14:paraId="25BFC7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806"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3C4E32">
            <w:pPr>
              <w:pStyle w:val="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1）违反食品安全法律法规，被责令停产停业的，或被吊销《营业执照》或《食品经营许可证》的；（2）食品供应商法定代表人（经营者或直接负责人）因食品安全犯罪被追究刑事责任的；（3）因食材供应商供应的食材原因发生食品安全事故，造成学生食物中毒或其他食源性疾病的；（4）因供应不合格食材或掺假用假，危害学生健康而引起群体性事件，影响恶劣的。</w:t>
            </w:r>
          </w:p>
        </w:tc>
        <w:tc>
          <w:tcPr>
            <w:tcW w:w="1483"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4BF2A2F">
            <w:pPr>
              <w:pStyle w:val="8"/>
              <w:jc w:val="both"/>
              <w:rPr>
                <w:rFonts w:hint="eastAsia" w:asciiTheme="minorEastAsia" w:hAnsiTheme="minorEastAsia" w:eastAsiaTheme="minorEastAsia" w:cstheme="minorEastAsia"/>
                <w:color w:val="auto"/>
                <w:highlight w:val="none"/>
              </w:rPr>
            </w:pPr>
          </w:p>
        </w:tc>
      </w:tr>
      <w:tr w14:paraId="1AFA5D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20"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EDCB61">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总分（食品安全和运营管理+服务质量）：</w:t>
            </w:r>
          </w:p>
        </w:tc>
        <w:tc>
          <w:tcPr>
            <w:tcW w:w="2869"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A01648">
            <w:pPr>
              <w:pStyle w:val="8"/>
              <w:jc w:val="center"/>
              <w:rPr>
                <w:rFonts w:hint="eastAsia" w:asciiTheme="minorEastAsia" w:hAnsiTheme="minorEastAsia" w:eastAsiaTheme="minorEastAsia" w:cstheme="minorEastAsia"/>
                <w:color w:val="auto"/>
                <w:highlight w:val="none"/>
              </w:rPr>
            </w:pPr>
          </w:p>
        </w:tc>
      </w:tr>
      <w:tr w14:paraId="599534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060E95">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评分代表签名</w:t>
            </w:r>
          </w:p>
        </w:tc>
        <w:tc>
          <w:tcPr>
            <w:tcW w:w="5641" w:type="dxa"/>
            <w:gridSpan w:val="7"/>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28A2F4C">
            <w:pPr>
              <w:pStyle w:val="8"/>
              <w:jc w:val="right"/>
              <w:rPr>
                <w:rFonts w:hint="eastAsia" w:asciiTheme="minorEastAsia" w:hAnsiTheme="minorEastAsia" w:eastAsiaTheme="minorEastAsia" w:cstheme="minorEastAsia"/>
                <w:color w:val="auto"/>
                <w:highlight w:val="none"/>
              </w:rPr>
            </w:pPr>
          </w:p>
        </w:tc>
      </w:tr>
      <w:tr w14:paraId="71E863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8D0A49">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食材供应商意见</w:t>
            </w:r>
          </w:p>
        </w:tc>
        <w:tc>
          <w:tcPr>
            <w:tcW w:w="5641" w:type="dxa"/>
            <w:gridSpan w:val="7"/>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7E1A67">
            <w:pPr>
              <w:pStyle w:val="8"/>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w:t>
            </w:r>
            <w:r>
              <w:rPr>
                <w:rFonts w:hint="eastAsia" w:asciiTheme="minorEastAsia" w:hAnsiTheme="minorEastAsia" w:eastAsiaTheme="minorEastAsia" w:cstheme="minorEastAsia"/>
                <w:b/>
                <w:color w:val="auto"/>
                <w:sz w:val="20"/>
                <w:highlight w:val="none"/>
              </w:rPr>
              <w:t>（签名盖公章）</w:t>
            </w:r>
          </w:p>
        </w:tc>
      </w:tr>
    </w:tbl>
    <w:p w14:paraId="6CAEF2F7">
      <w:pPr>
        <w:pStyle w:val="8"/>
        <w:jc w:val="both"/>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四、其他事项</w:t>
      </w:r>
    </w:p>
    <w:p w14:paraId="7B4567E6">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1、除招标文件另有规定外，若出现有关法律、法规和规章有强制性规定但招标文件未列明的情形，则投标人应按照有关法律、法规和规章强制性规定执行。</w:t>
      </w:r>
    </w:p>
    <w:p w14:paraId="445C48EE">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2、其他：</w:t>
      </w:r>
    </w:p>
    <w:p w14:paraId="5E2764D8">
      <w:pPr>
        <w:pStyle w:val="8"/>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w:t>
      </w:r>
    </w:p>
    <w:p w14:paraId="7EB32576">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615AD223">
      <w:pPr>
        <w:pStyle w:val="8"/>
        <w:jc w:val="center"/>
        <w:outlineLvl w:val="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highlight w:val="none"/>
        </w:rPr>
        <w:t>第六章 政府采购合同</w:t>
      </w:r>
    </w:p>
    <w:p w14:paraId="059816C1">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参考文本</w:t>
      </w:r>
    </w:p>
    <w:p w14:paraId="271FD4D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合同编号：</w:t>
      </w:r>
    </w:p>
    <w:p w14:paraId="6824D821">
      <w:pPr>
        <w:pStyle w:val="8"/>
        <w:jc w:val="center"/>
        <w:outlineLvl w:val="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highlight w:val="none"/>
        </w:rPr>
        <w:t xml:space="preserve"> 福建省政府采购合同（服务类）</w:t>
      </w:r>
    </w:p>
    <w:p w14:paraId="1FD9BE3F">
      <w:pPr>
        <w:pStyle w:val="8"/>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编制说明</w:t>
      </w:r>
      <w:r>
        <w:rPr>
          <w:rFonts w:hint="eastAsia" w:asciiTheme="minorEastAsia" w:hAnsiTheme="minorEastAsia" w:eastAsiaTheme="minorEastAsia" w:cstheme="minorEastAsia"/>
          <w:color w:val="auto"/>
          <w:highlight w:val="none"/>
        </w:rPr>
        <w:br w:type="textWrapping"/>
      </w:r>
    </w:p>
    <w:p w14:paraId="5C6E6EFC">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1.签订合同应遵守《中华人民共和国政府采购法》及其实施条例、《中华人民共和国民法典》等法律法规及其他有关规定。</w:t>
      </w:r>
    </w:p>
    <w:p w14:paraId="38906D5E">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2.签订合同时，采购人与中标(成交)人应结合采购文件规定填列相应内容。采购文件已有约定的，双方均不得对约定进行变更或调整；采购文件未作规定的，双方可通过友好协商进行约定。</w:t>
      </w:r>
    </w:p>
    <w:p w14:paraId="592EBCEF">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3.政府有关主管部门对若干合同有规范文本的，可使用相应合同文本。</w:t>
      </w:r>
    </w:p>
    <w:p w14:paraId="7BEC3515">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4.本合同范本仅供参考，采购人应当根据采购项目的实际需求对合同条款进行修改、补充。</w:t>
      </w:r>
    </w:p>
    <w:p w14:paraId="3E8EBBF1">
      <w:pPr>
        <w:pStyle w:val="8"/>
        <w:ind w:lef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甲方：</w:t>
      </w:r>
    </w:p>
    <w:p w14:paraId="47899D77">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住所地：________________</w:t>
      </w:r>
    </w:p>
    <w:p w14:paraId="489AFD2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联系人：________________</w:t>
      </w:r>
    </w:p>
    <w:p w14:paraId="58FC14E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联系电话：______________</w:t>
      </w:r>
    </w:p>
    <w:p w14:paraId="199EA73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传真：________________</w:t>
      </w:r>
    </w:p>
    <w:p w14:paraId="3792000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电子邮箱：________________</w:t>
      </w:r>
      <w:r>
        <w:rPr>
          <w:rFonts w:hint="eastAsia" w:asciiTheme="minorEastAsia" w:hAnsiTheme="minorEastAsia" w:eastAsiaTheme="minorEastAsia" w:cstheme="minorEastAsia"/>
          <w:color w:val="auto"/>
          <w:highlight w:val="none"/>
        </w:rPr>
        <w:br w:type="textWrapping"/>
      </w:r>
    </w:p>
    <w:p w14:paraId="358086D5">
      <w:pPr>
        <w:pStyle w:val="8"/>
        <w:ind w:lef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乙方： ________________</w:t>
      </w:r>
    </w:p>
    <w:p w14:paraId="1D721B6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住所地： ________________</w:t>
      </w:r>
    </w:p>
    <w:p w14:paraId="1B259F6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联系人：______________</w:t>
      </w:r>
    </w:p>
    <w:p w14:paraId="2344411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联系电话：______________</w:t>
      </w:r>
    </w:p>
    <w:p w14:paraId="2781798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传真：________________</w:t>
      </w:r>
    </w:p>
    <w:p w14:paraId="57D152F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电子邮箱：________________</w:t>
      </w:r>
    </w:p>
    <w:p w14:paraId="4BEAFCA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根据项目编号为___________ 的 __________项目（以下简称：“本项目”）的采购结果，遵循平等、自愿、公平和诚实信用的原则，双方签署本合同，具体内容如下：</w:t>
      </w:r>
    </w:p>
    <w:p w14:paraId="21BBF62C">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一、合同组成部分</w:t>
      </w:r>
    </w:p>
    <w:p w14:paraId="2309145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1.1本合同条款及附件；</w:t>
      </w:r>
    </w:p>
    <w:p w14:paraId="6FED917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1.2采购文件及其附件、补充文件；</w:t>
      </w:r>
    </w:p>
    <w:p w14:paraId="0B3BB57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1.3乙方的响应文件及其附件、补充文件；</w:t>
      </w:r>
    </w:p>
    <w:p w14:paraId="3DE0B41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1.4其他文件或材料：</w:t>
      </w:r>
    </w:p>
    <w:p w14:paraId="3366168F">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二、合同标的</w:t>
      </w:r>
      <w:r>
        <w:rPr>
          <w:rFonts w:hint="eastAsia" w:asciiTheme="minorEastAsia" w:hAnsiTheme="minorEastAsia" w:eastAsiaTheme="minorEastAsia" w:cstheme="minorEastAsia"/>
          <w:color w:val="auto"/>
          <w:highlight w:val="none"/>
        </w:rPr>
        <w:br w:type="textWrapping"/>
      </w:r>
    </w:p>
    <w:p w14:paraId="315FD8F6">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三、价格形式及合同价款</w:t>
      </w:r>
    </w:p>
    <w:p w14:paraId="710437BA">
      <w:pPr>
        <w:pStyle w:val="8"/>
        <w:jc w:val="left"/>
        <w:outlineLvl w:val="4"/>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 xml:space="preserve"> 3.1价格形式</w:t>
      </w:r>
    </w:p>
    <w:p w14:paraId="37315C0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固定单价合同。完成约定服务事项的含税合同单价为：人民币（大写）元（￥ _____________元）。</w:t>
      </w:r>
    </w:p>
    <w:p w14:paraId="37AF0056">
      <w:pPr>
        <w:pStyle w:val="8"/>
        <w:spacing w:line="300" w:lineRule="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固定总价合同。完成约定服务事项的含税服务费用为：人民币（大写）元（￥_____________ 元）。</w:t>
      </w:r>
    </w:p>
    <w:p w14:paraId="665027C7">
      <w:pPr>
        <w:pStyle w:val="8"/>
        <w:spacing w:line="300" w:lineRule="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其他方式。</w:t>
      </w:r>
    </w:p>
    <w:p w14:paraId="63CD2E3B">
      <w:pPr>
        <w:pStyle w:val="8"/>
        <w:spacing w:line="300" w:lineRule="auto"/>
        <w:jc w:val="left"/>
        <w:outlineLvl w:val="4"/>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 xml:space="preserve"> 3.2合同价款包含范围</w:t>
      </w:r>
    </w:p>
    <w:p w14:paraId="76E0575A">
      <w:pPr>
        <w:pStyle w:val="8"/>
        <w:jc w:val="left"/>
        <w:outlineLvl w:val="4"/>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0"/>
          <w:highlight w:val="none"/>
        </w:rPr>
        <w:t xml:space="preserve"> 3.3其他需说明的事项：</w:t>
      </w:r>
    </w:p>
    <w:p w14:paraId="7096B5A3">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四、合同标的及服务范围、地点和时间</w:t>
      </w:r>
    </w:p>
    <w:p w14:paraId="257AEFB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4.1项目名称： _____________</w:t>
      </w:r>
    </w:p>
    <w:p w14:paraId="5B6426E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4.2服务范围：_____________</w:t>
      </w:r>
    </w:p>
    <w:p w14:paraId="0E79843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4.3服务地点：_____________</w:t>
      </w:r>
    </w:p>
    <w:p w14:paraId="6F19390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4.4服务完成时间：_____________</w:t>
      </w:r>
    </w:p>
    <w:p w14:paraId="4B752456">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五、服务内容、质量标准和要求</w:t>
      </w:r>
    </w:p>
    <w:p w14:paraId="476F30D7">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5.1服务工作量的计量方式：_____________</w:t>
      </w:r>
    </w:p>
    <w:p w14:paraId="611A089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5.2服务内容：_____________</w:t>
      </w:r>
    </w:p>
    <w:p w14:paraId="71A3C63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5.3技术保障、服务人员组成、所涉及的货物的质量标准：</w:t>
      </w:r>
    </w:p>
    <w:p w14:paraId="3892945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（1）服务技术保障：_____________</w:t>
      </w:r>
    </w:p>
    <w:p w14:paraId="3EB25957">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（2）服务人员组成：_____________</w:t>
      </w:r>
    </w:p>
    <w:p w14:paraId="4D87900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（3）服务设备及物资投入及质量标准：_____________</w:t>
      </w:r>
    </w:p>
    <w:p w14:paraId="2306BE4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5.4服务质量标准及要求：</w:t>
      </w:r>
    </w:p>
    <w:p w14:paraId="0A9A752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5.4.1乙方提供的服务或使用的产品、软件等应符合国家知识产权法律、法规的规定；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14:paraId="3840995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5.4.2若乙方提供的服务或使用的产品、软件等不符合国家知识产权法律、法规的规定或被有关主管机关认定为侵权或假冒伪劣品，则乙方中标或成交资格将被取消；甲方还将按照有关法律、法规和规章的规定进行处理，具体如下：</w:t>
      </w:r>
    </w:p>
    <w:p w14:paraId="610299A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5.4.3其他要求：</w:t>
      </w:r>
    </w:p>
    <w:p w14:paraId="7C465A08">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六、服务履约验收或考核</w:t>
      </w:r>
    </w:p>
    <w:p w14:paraId="0B2551F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甲方按照采购文件、乙方的投标或响应文件和本协议约定的服务内容及质量要求按次组织对乙方所提供服务进行验收，或定期进行服务考核，并根据验收或考核结果支付服务费用。具体如下：</w:t>
      </w:r>
    </w:p>
    <w:p w14:paraId="434A25A3">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七、甲方的权利与义务</w:t>
      </w:r>
    </w:p>
    <w:p w14:paraId="0F6C48B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7.1甲方委派___________为联系人，联系方式 ___________，负责与乙方联系。如甲方联系人发生变更，甲方应书面告知乙方。</w:t>
      </w:r>
    </w:p>
    <w:p w14:paraId="4733DC77">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7.2甲方应为乙方开展服务工作提供必要的工作条件，以及对内对外沟通和配合协助。</w:t>
      </w:r>
    </w:p>
    <w:p w14:paraId="0E3FFD8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7.3甲方应于___________之前提供服务所需的全部资料，并对所提供材料真实性、完整性、合法性负责。</w:t>
      </w:r>
    </w:p>
    <w:p w14:paraId="7A1F086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7.4甲方应对委托服务事项提出明确、合理的要求，并对乙方开展服务过程中需采购人确认事项及时予以确认。甲方根据乙方服务成果提出的建议、方案所做出的决定而导致的损失，非乙方及其委派人员的过错造成由甲方自行承担。</w:t>
      </w:r>
    </w:p>
    <w:p w14:paraId="7ABA651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7.5甲方应按本合同约定及时足额支付服务费用及相关费用。</w:t>
      </w:r>
    </w:p>
    <w:p w14:paraId="1B4527CD">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7.6其他</w:t>
      </w:r>
    </w:p>
    <w:p w14:paraId="647D3EFF">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八、乙方的权利与义务</w:t>
      </w:r>
    </w:p>
    <w:p w14:paraId="4E6FF34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8.1乙方委派___________为联系人，联系方式 ___________，负责与甲方联系。如乙方联系人发生变更，乙方应书面告知甲方</w:t>
      </w:r>
    </w:p>
    <w:p w14:paraId="16CC673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8.2乙方应国家法律法规和{{乙方的权利与义务-响应要求-福建}}等要求开展{{乙方的权利与义务-开展服务-福建}}服务；</w:t>
      </w:r>
    </w:p>
    <w:p w14:paraId="03FD958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8.3乙方及其所委派服务人员应按标准或协议约定方式出具服务成果，并对其真实性和合法性负法律责任；</w:t>
      </w:r>
    </w:p>
    <w:p w14:paraId="345BA37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8.4乙方对执行业务过程中知悉的国家秘密或甲方的商业秘密保密。除非国家法律法规及行业规范另有规定,或经甲方同意,乙方不得将其知悉的商业秘密和甲方提供的资料对外泄露。</w:t>
      </w:r>
    </w:p>
    <w:p w14:paraId="4E91705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8.5乙方对服务业务应当单独建档，保存完整的工作记录，并对服务过程使用和暂存甲方的文件、材料和财物应当妥善保管。</w:t>
      </w:r>
    </w:p>
    <w:p w14:paraId="6FEC73C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8.6服务工作结束后,乙方将根据情况对甲方服务相关的管理制度及其他事项等提出改进意见。</w:t>
      </w:r>
    </w:p>
    <w:p w14:paraId="0A10592D">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8.7乙方完全遵守《中华人民共和国劳动合同法》有关规定和《中华人民共和国妇女权益保障法》中关于“劳动和社会保障权益”的有关要求。</w:t>
      </w:r>
    </w:p>
    <w:p w14:paraId="4547AB1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8.8其他</w:t>
      </w:r>
    </w:p>
    <w:p w14:paraId="5AEC17D9">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九、资金支付方式、时间和条件</w:t>
      </w:r>
      <w:r>
        <w:rPr>
          <w:rFonts w:hint="eastAsia" w:asciiTheme="minorEastAsia" w:hAnsiTheme="minorEastAsia" w:eastAsiaTheme="minorEastAsia" w:cstheme="minorEastAsia"/>
          <w:color w:val="auto"/>
          <w:highlight w:val="none"/>
        </w:rPr>
        <w:br w:type="textWrapping"/>
      </w:r>
    </w:p>
    <w:p w14:paraId="025CB54B">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十、履约保证金</w:t>
      </w:r>
    </w:p>
    <w:p w14:paraId="5BE8896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□有，□无。具体如下：（按照采购文件规定填写）。</w:t>
      </w:r>
    </w:p>
    <w:p w14:paraId="227887AD">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10.1乙方向甲方缴纳人民币 / 元作为本合同的履约保证金。</w:t>
      </w:r>
    </w:p>
    <w:p w14:paraId="3057008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10.2履约保证金缴纳形式：支票/汇票/电汇/保函等非现金形式。</w:t>
      </w:r>
    </w:p>
    <w:p w14:paraId="3E8F6EC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10.3履约保证金合同履行完毕前有效，合同履行完毕后一次性结清退还。</w:t>
      </w:r>
    </w:p>
    <w:p w14:paraId="5907F47B">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十一、合同期限</w:t>
      </w:r>
      <w:r>
        <w:rPr>
          <w:rFonts w:hint="eastAsia" w:asciiTheme="minorEastAsia" w:hAnsiTheme="minorEastAsia" w:eastAsiaTheme="minorEastAsia" w:cstheme="minorEastAsia"/>
          <w:color w:val="auto"/>
          <w:highlight w:val="none"/>
        </w:rPr>
        <w:br w:type="textWrapping"/>
      </w:r>
    </w:p>
    <w:p w14:paraId="318CEFBB">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十二、保密条款</w:t>
      </w:r>
    </w:p>
    <w:p w14:paraId="6D4252F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12.1对于在采购和合同履行过程中所获悉的属于保密的内容，甲、乙双方均负有保密义务。</w:t>
      </w:r>
    </w:p>
    <w:p w14:paraId="245011B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12.2其他</w:t>
      </w:r>
    </w:p>
    <w:p w14:paraId="7C54FCBF">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十三、违约责任</w:t>
      </w:r>
    </w:p>
    <w:p w14:paraId="7B360F1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13.1甲方违约责任</w:t>
      </w:r>
    </w:p>
    <w:p w14:paraId="62147FE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（1）甲方无正当理由拒绝乙方提供合格服务的，甲方应向乙方偿付所拒收合同总价________的违约金</w:t>
      </w:r>
    </w:p>
    <w:p w14:paraId="0C3AA2D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（2）甲方无故逾期验收和办理合同款项支付手续的,甲方应按逾期付款总额每日________向乙方支付违约金。</w:t>
      </w:r>
    </w:p>
    <w:p w14:paraId="0AC4EBF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（3）其他违约情形</w:t>
      </w:r>
    </w:p>
    <w:p w14:paraId="7BECF05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13.2乙方违约责任</w:t>
      </w:r>
    </w:p>
    <w:p w14:paraId="126C6D7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（1）乙方逾期履行服务的，乙方应按逾期交付总额每日________向甲方支付违约金，由甲方从待付货款中扣除。乙方无正当理由逾期超过约定日期________仍不能交付的，视为“乙方不按合同约定履约”；</w:t>
      </w:r>
    </w:p>
    <w:p w14:paraId="70047A1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（2）乙方所履行的服务不符合合同规定及《采购文件》规定标准的，甲方有权拒绝，乙方愿意整改但逾期履行的，按乙方逾期履行处理。乙方拒绝整改的，视为“乙方不按合同约定履约”</w:t>
      </w:r>
    </w:p>
    <w:p w14:paraId="5660AF2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（3）乙方不按合同约定履约的，甲方可以解除采购合同，并对乙方已缴纳的履约保证金作“不予退还”处理。同时，乙方须按以下约定向甲方支付违约金：</w:t>
      </w:r>
    </w:p>
    <w:p w14:paraId="6EF0B35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（4）其他违约情形</w:t>
      </w:r>
    </w:p>
    <w:p w14:paraId="352FA2F1">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十四、不可抗力事件处理</w:t>
      </w:r>
    </w:p>
    <w:p w14:paraId="08E8B6C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14:paraId="0FC760F5">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十五、解决争议的方法</w:t>
      </w:r>
    </w:p>
    <w:p w14:paraId="0628964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15.1甲、乙双方协商解决。</w:t>
      </w:r>
    </w:p>
    <w:p w14:paraId="0B8F9B9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15.2若协商解决不成，双方明确按以下第_种方式解决：</w:t>
      </w:r>
    </w:p>
    <w:p w14:paraId="63CBE3B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1、提交仲裁委员会仲裁，具体如下：</w:t>
      </w:r>
    </w:p>
    <w:p w14:paraId="15F12093">
      <w:pPr>
        <w:pStyle w:val="8"/>
        <w:spacing w:line="300" w:lineRule="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2、向______人民法院提起诉讼。</w:t>
      </w:r>
    </w:p>
    <w:p w14:paraId="1E74CA10">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十六、合同其他条款</w:t>
      </w:r>
      <w:r>
        <w:rPr>
          <w:rFonts w:hint="eastAsia" w:asciiTheme="minorEastAsia" w:hAnsiTheme="minorEastAsia" w:eastAsiaTheme="minorEastAsia" w:cstheme="minorEastAsia"/>
          <w:color w:val="auto"/>
          <w:highlight w:val="none"/>
        </w:rPr>
        <w:br w:type="textWrapping"/>
      </w:r>
    </w:p>
    <w:p w14:paraId="73267E62">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十七、其他约定</w:t>
      </w:r>
    </w:p>
    <w:p w14:paraId="4EEB31E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17.1合同文件与本合同具有同等法律效力。</w:t>
      </w:r>
    </w:p>
    <w:p w14:paraId="4EBB8B2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17.2合同生效：合同经双方法定代表人或委托代理人签字并加盖单位公章后生效；通过福建省政府采购网上公开信息系统采用电子形式签订合同的，签订之日以系统记载的双方使用各自CA证书在合同上加盖单位公章或合同章的日期中的最晚时间为准。</w:t>
      </w:r>
    </w:p>
    <w:p w14:paraId="4EAE175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17.3本合同未尽事宜，遵照《中华人民共和国民法典》有关条文执行。</w:t>
      </w:r>
    </w:p>
    <w:p w14:paraId="435EE0B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17.4本合同正本一式_______份，具有同等法律效力，甲方、乙方各执_______份；副本_______份，_______</w:t>
      </w:r>
    </w:p>
    <w:p w14:paraId="66AF3FE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17.5其他</w:t>
      </w:r>
    </w:p>
    <w:p w14:paraId="60FAECDF">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十八、合同附件</w:t>
      </w:r>
    </w:p>
    <w:p w14:paraId="76B549B6">
      <w:pPr>
        <w:pStyle w:val="8"/>
        <w:jc w:val="left"/>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 十九、合同融资支付约定</w:t>
      </w:r>
    </w:p>
    <w:p w14:paraId="36D533E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19.1本合同已用于政府采购合同融资，为本项目提供合同融资的金融机构为：_______，本合同项下所有款项，甲方须支付至本合同约定的乙方账号，未经_______书面同意，不得变更账号。</w:t>
      </w:r>
    </w:p>
    <w:p w14:paraId="411187F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中标（成交）供应商应于采购合同签订之日起_______内，向发放政采贷的金融机构提交政府采购中标（成交）通知书和政府采购合同，贷款金额以政府采购合同金额为限。</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textWrapping"/>
      </w:r>
    </w:p>
    <w:p w14:paraId="12A857CD">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甲方（采购人）：</w:t>
      </w:r>
    </w:p>
    <w:p w14:paraId="4C9A940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法定（授权）代表人：</w:t>
      </w:r>
    </w:p>
    <w:p w14:paraId="243B5A4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纳税人识别号：</w:t>
      </w:r>
    </w:p>
    <w:p w14:paraId="6937FB6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开户银行：</w:t>
      </w:r>
    </w:p>
    <w:p w14:paraId="0D2E46D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账号：</w:t>
      </w:r>
    </w:p>
    <w:p w14:paraId="38C38EAD">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乙方（中标或成交人）：</w:t>
      </w:r>
    </w:p>
    <w:p w14:paraId="439181D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法定（授权）代表人：</w:t>
      </w:r>
    </w:p>
    <w:p w14:paraId="34FB516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纳税人识别号：</w:t>
      </w:r>
    </w:p>
    <w:p w14:paraId="664EE2A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开户银行：</w:t>
      </w:r>
    </w:p>
    <w:p w14:paraId="34DA479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账号：</w:t>
      </w:r>
    </w:p>
    <w:p w14:paraId="37D7337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签订地点：_____________</w:t>
      </w:r>
    </w:p>
    <w:p w14:paraId="7FA56E6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签订日期：____年___月___日</w:t>
      </w:r>
    </w:p>
    <w:p w14:paraId="1E20F3A4">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5B377430">
      <w:pPr>
        <w:pStyle w:val="8"/>
        <w:jc w:val="center"/>
        <w:outlineLvl w:val="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highlight w:val="none"/>
        </w:rPr>
        <w:t>第七章 电子投标文件格式</w:t>
      </w:r>
    </w:p>
    <w:p w14:paraId="0C478F3D">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编制说明</w:t>
      </w:r>
    </w:p>
    <w:p w14:paraId="0EC3E8F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1、除招标文件另有规定外，本章中：</w:t>
      </w:r>
    </w:p>
    <w:p w14:paraId="3D86E30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1.1涉及投标人的“全称”：</w:t>
      </w:r>
    </w:p>
    <w:p w14:paraId="7F93475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（1）不接受联合体投标的，指投标人的全称。</w:t>
      </w:r>
    </w:p>
    <w:p w14:paraId="08AC7D59">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（2）接受联合体投标且投标人为联合体的，指牵头方的全称并加注（联合体牵头方），即应表述为：“牵头方的全称（联合体牵头方）”。</w:t>
      </w:r>
    </w:p>
    <w:p w14:paraId="3F21AF4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1.2涉及投标人“加盖单位公章”：</w:t>
      </w:r>
    </w:p>
    <w:p w14:paraId="1B008F8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（1）不接受联合体投标的，指加盖投标人的单位公章。</w:t>
      </w:r>
    </w:p>
    <w:p w14:paraId="496C88C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（2）接受联合体投标且投标人为联合体的，指加盖联合体牵头方的单位公章。</w:t>
      </w:r>
    </w:p>
    <w:p w14:paraId="5118EA0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1.3涉及“投标人代表签字”：</w:t>
      </w:r>
    </w:p>
    <w:p w14:paraId="6051B44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（1）不接受联合体投标的，指由投标人的单位负责人或其授权的委托代理人签字，由委托代理人签字的，应提供“单位授权书”。</w:t>
      </w:r>
    </w:p>
    <w:p w14:paraId="2AFED3C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（2）接受联合体投标且投标人为联合体的，指由联合体牵头方的单位负责人或其授权的委托代理人签字，由委托代理人签字的，应提供“单位授权书”。</w:t>
      </w:r>
    </w:p>
    <w:p w14:paraId="56E3537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1.4“其他组织”指合伙企业、非企业专业服务机构、个体工商户、农村承包经营户等。</w:t>
      </w:r>
    </w:p>
    <w:p w14:paraId="7BE176E3">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1.5“自然人”指具有完全民事行为能力、能够承担民事责任和义务的中国公民。</w:t>
      </w:r>
    </w:p>
    <w:p w14:paraId="0A5F664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2、除招标文件另有规定外，本章中“投标人的资格及资信证明文件”：</w:t>
      </w:r>
    </w:p>
    <w:p w14:paraId="5AA2902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2.1投标人应按照招标文件第四章第1.3条第（2）款规定及本章规定进行编制，如有必要，可增加附页，附页作为资格及资信文件的组成部分。</w:t>
      </w:r>
    </w:p>
    <w:p w14:paraId="38A5280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2.2接受联合体投标且投标人为联合体的，联合体中的各方均应按照本章第2.1条规定提交相应的全部资料。</w:t>
      </w:r>
    </w:p>
    <w:p w14:paraId="466BBB6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3、投标人对电子投标文件的索引应编制页码。</w:t>
      </w:r>
    </w:p>
    <w:p w14:paraId="4E4940A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4、本章提供格式仅供参考，投标人应根据自身实际情况制作电子投标文件。</w:t>
      </w:r>
    </w:p>
    <w:p w14:paraId="4AD65E8D">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4F3F796C">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封面格式(资格及资信证明部分)</w:t>
      </w:r>
    </w:p>
    <w:p w14:paraId="08B223C6">
      <w:pPr>
        <w:pStyle w:val="8"/>
        <w:jc w:val="center"/>
        <w:outlineLvl w:val="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8"/>
          <w:highlight w:val="none"/>
        </w:rPr>
        <w:t>福建省政府采购投标文件</w:t>
      </w:r>
    </w:p>
    <w:p w14:paraId="29230B1E">
      <w:pPr>
        <w:pStyle w:val="8"/>
        <w:jc w:val="center"/>
        <w:outlineLvl w:val="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8"/>
          <w:highlight w:val="none"/>
        </w:rPr>
        <w:t>（资格及资信证明部分）</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textWrapping"/>
      </w:r>
    </w:p>
    <w:p w14:paraId="706A1CA1">
      <w:pPr>
        <w:pStyle w:val="8"/>
        <w:jc w:val="center"/>
        <w:outlineLvl w:val="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highlight w:val="none"/>
        </w:rPr>
        <w:t>（填写正本或副本）</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textWrapping"/>
      </w:r>
    </w:p>
    <w:p w14:paraId="57A59327">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项目名称：（由投标人填写）</w:t>
      </w:r>
    </w:p>
    <w:p w14:paraId="7D21572D">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备案编号：（由投标人填写）</w:t>
      </w:r>
    </w:p>
    <w:p w14:paraId="4BFDEEDF">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项目编号：（由投标人填写）</w:t>
      </w:r>
    </w:p>
    <w:p w14:paraId="45FED138">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所投采购包：（由投标人填写）</w:t>
      </w:r>
    </w:p>
    <w:p w14:paraId="353CF647">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投标人：（填写“全称”）</w:t>
      </w:r>
    </w:p>
    <w:p w14:paraId="52022AAF">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（由投标人填写）年（由投标人填写）月</w:t>
      </w:r>
    </w:p>
    <w:p w14:paraId="2EAEC969">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435F99B7">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索引</w:t>
      </w:r>
    </w:p>
    <w:p w14:paraId="7EF9F1A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一、投标函</w:t>
      </w:r>
    </w:p>
    <w:p w14:paraId="6026B64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二、投标人的资格及资信证明文件</w:t>
      </w:r>
    </w:p>
    <w:p w14:paraId="08CEC9E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三、投标保证金</w:t>
      </w:r>
    </w:p>
    <w:p w14:paraId="0995AB4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5BE22D0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资格及资信证明部分中不得出现报价部分的全部或部分的投标报价信息（或组成资料），否则资格审查不合格。（联合体协议及分包意向协议中的比例规定，不适用本条款）</w:t>
      </w:r>
    </w:p>
    <w:p w14:paraId="0FC7FFC2">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2CF646F6">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一、投标函</w:t>
      </w:r>
    </w:p>
    <w:p w14:paraId="1396341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w:t>
      </w:r>
      <w:r>
        <w:rPr>
          <w:rFonts w:hint="eastAsia" w:asciiTheme="minorEastAsia" w:hAnsiTheme="minorEastAsia" w:eastAsiaTheme="minorEastAsia" w:cstheme="minorEastAsia"/>
          <w:color w:val="auto"/>
          <w:highlight w:val="none"/>
          <w:u w:val="single"/>
        </w:rPr>
        <w:t>（采购人或采购代理机构）</w:t>
      </w:r>
    </w:p>
    <w:p w14:paraId="057DFDD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兹收到贵单位关于</w:t>
      </w:r>
      <w:r>
        <w:rPr>
          <w:rFonts w:hint="eastAsia" w:asciiTheme="minorEastAsia" w:hAnsiTheme="minorEastAsia" w:eastAsiaTheme="minorEastAsia" w:cstheme="minorEastAsia"/>
          <w:color w:val="auto"/>
          <w:highlight w:val="none"/>
          <w:u w:val="single"/>
        </w:rPr>
        <w:t xml:space="preserve">（填写“项目名称”） </w:t>
      </w:r>
      <w:r>
        <w:rPr>
          <w:rFonts w:hint="eastAsia" w:asciiTheme="minorEastAsia" w:hAnsiTheme="minorEastAsia" w:eastAsiaTheme="minorEastAsia" w:cstheme="minorEastAsia"/>
          <w:color w:val="auto"/>
          <w:highlight w:val="none"/>
        </w:rPr>
        <w:t>项目</w:t>
      </w:r>
      <w:r>
        <w:rPr>
          <w:rFonts w:hint="eastAsia" w:asciiTheme="minorEastAsia" w:hAnsiTheme="minorEastAsia" w:eastAsiaTheme="minorEastAsia" w:cstheme="minorEastAsia"/>
          <w:color w:val="auto"/>
          <w:highlight w:val="none"/>
          <w:u w:val="single"/>
        </w:rPr>
        <w:t xml:space="preserve">（项目编号：　　　　　） </w:t>
      </w:r>
      <w:r>
        <w:rPr>
          <w:rFonts w:hint="eastAsia" w:asciiTheme="minorEastAsia" w:hAnsiTheme="minorEastAsia" w:eastAsiaTheme="minorEastAsia" w:cstheme="minorEastAsia"/>
          <w:color w:val="auto"/>
          <w:highlight w:val="none"/>
        </w:rPr>
        <w:t>的投标邀请，本投标人代表</w:t>
      </w:r>
      <w:r>
        <w:rPr>
          <w:rFonts w:hint="eastAsia" w:asciiTheme="minorEastAsia" w:hAnsiTheme="minorEastAsia" w:eastAsiaTheme="minorEastAsia" w:cstheme="minorEastAsia"/>
          <w:color w:val="auto"/>
          <w:highlight w:val="none"/>
          <w:u w:val="single"/>
        </w:rPr>
        <w:t xml:space="preserve">（填写“全名”） </w:t>
      </w:r>
      <w:r>
        <w:rPr>
          <w:rFonts w:hint="eastAsia" w:asciiTheme="minorEastAsia" w:hAnsiTheme="minorEastAsia" w:eastAsiaTheme="minorEastAsia" w:cstheme="minorEastAsia"/>
          <w:color w:val="auto"/>
          <w:highlight w:val="none"/>
        </w:rPr>
        <w:t>已获得我方正式授权并代表投标人（填写“全称”）参加投标，并提交电子投标文件。我方提交的全部电子投标文件由下述部分组成：</w:t>
      </w:r>
    </w:p>
    <w:p w14:paraId="255C3D8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（1）资格及资信证明部分</w:t>
      </w:r>
    </w:p>
    <w:p w14:paraId="6C9C2DA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①投标函</w:t>
      </w:r>
    </w:p>
    <w:p w14:paraId="4D4A2B2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②投标人的资格及资信证明文件</w:t>
      </w:r>
    </w:p>
    <w:p w14:paraId="3249496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③投标保证金</w:t>
      </w:r>
    </w:p>
    <w:p w14:paraId="66DD641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（2）报价部分</w:t>
      </w:r>
    </w:p>
    <w:p w14:paraId="134FF973">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①开标一览表</w:t>
      </w:r>
    </w:p>
    <w:p w14:paraId="35B0C80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②投标分项报价表</w:t>
      </w:r>
    </w:p>
    <w:p w14:paraId="0C8F36A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③招标文件规定的价格扣除证明材料（若有）</w:t>
      </w:r>
    </w:p>
    <w:p w14:paraId="1F1EBA7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④招标文件规定的加分证明材料（若有）</w:t>
      </w:r>
    </w:p>
    <w:p w14:paraId="4BD2EC9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（3）技术商务部分</w:t>
      </w:r>
    </w:p>
    <w:p w14:paraId="79C3DA9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①标的说明一览表</w:t>
      </w:r>
    </w:p>
    <w:p w14:paraId="7C9EC6B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②技术和服务要求响应表</w:t>
      </w:r>
    </w:p>
    <w:p w14:paraId="4DB144E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③商务条件响应表</w:t>
      </w:r>
    </w:p>
    <w:p w14:paraId="0C447E6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④投标人提交的其他资料（若有）</w:t>
      </w:r>
    </w:p>
    <w:p w14:paraId="5B0F618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根据本函，本投标人代表宣布我方保证遵守招标文件的全部规定，同时：</w:t>
      </w:r>
    </w:p>
    <w:p w14:paraId="5D7BEB3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1、确认：</w:t>
      </w:r>
    </w:p>
    <w:p w14:paraId="4814AAC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1.1所投采购包的投标报价详见“开标一览表”及“投标分项报价表”。</w:t>
      </w:r>
    </w:p>
    <w:p w14:paraId="18C1872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1.2我方已详细审查全部招标文件[包括但不限于：有关附件（若有）、澄清或修改（若有）等]，并自行承担因对全部招标文件理解不正确或误解而产生的相应后果和责任。</w:t>
      </w:r>
    </w:p>
    <w:p w14:paraId="64C802F9">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2、承诺及声明：</w:t>
      </w:r>
    </w:p>
    <w:p w14:paraId="12A07F8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2.1我方具备招标文件第一章载明的“投标人的资格要求”且符合招标文件第三章载明的“二、投标人”之规定，否则投标无效。</w:t>
      </w:r>
    </w:p>
    <w:p w14:paraId="160FBF8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2.2我方提交的电子投标文件各组成部分的全部内容及资料是不可割离且真实、有效、准确、完整和不具有任何误导性的，否则产生不利后果由我方承担责任。</w:t>
      </w:r>
    </w:p>
    <w:p w14:paraId="32022C4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2.3我方提供的标的价格不高于同期市场价格，否则产生不利后果由我方承担责任。</w:t>
      </w:r>
    </w:p>
    <w:p w14:paraId="3E97AD6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2.4投标保证金：若出现招标文件第三章规定的不予退还情形，同意贵单位不予退还。</w:t>
      </w:r>
    </w:p>
    <w:p w14:paraId="279F552A">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2.5投标有效期：按照招标文件第三章规定执行，并在招标文件第二章载明的期限内保持有效。</w:t>
      </w:r>
    </w:p>
    <w:p w14:paraId="6A6C287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2.6若中标，将按照招标文件、我方电子投标文件及政府采购合同履行责任和义务。</w:t>
      </w:r>
    </w:p>
    <w:p w14:paraId="18A913E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2.7若贵单位要求，我方同意提供与本项目投标有关的一切资料、数据或文件，并完全理解贵单位不一定要接受最低的投标报价或收到的任何投标。</w:t>
      </w:r>
    </w:p>
    <w:p w14:paraId="71B8E29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 我方承诺遵守《中华人民共和国劳动合同法》有关规定和《中华人民共和国妇女权益保障法 》中关于“劳动和社会保障权益”的有关要求。</w:t>
      </w:r>
    </w:p>
    <w:p w14:paraId="187B5B8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2.9我方承诺电子投标文件所提供的全部资料真实可靠，并接受评标委员会、采购人、采购代理机构、监管部门进一步审查其中任何资料真实性的要求。</w:t>
      </w:r>
    </w:p>
    <w:p w14:paraId="4794E79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2.10除招标文件另有规定外，对于贵单位按照下述联络方式发出的任何信息或通知，均视为我方已收悉前述信息或通知的全部内容：</w:t>
      </w:r>
    </w:p>
    <w:p w14:paraId="15CE23BA">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通信地址：                                        </w:t>
      </w:r>
    </w:p>
    <w:p w14:paraId="26431CB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邮编：                                           </w:t>
      </w:r>
    </w:p>
    <w:p w14:paraId="05AFF0C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联系方法：（包括但不限于：联系人、联系电话、手机、传真、电子邮箱等）</w:t>
      </w:r>
    </w:p>
    <w:p w14:paraId="10C1862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投标人：（全称并加盖单位公章）</w:t>
      </w:r>
    </w:p>
    <w:p w14:paraId="2F28298A">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    年   月   日</w:t>
      </w:r>
    </w:p>
    <w:p w14:paraId="745047D2">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28C21572">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二、投标人的资格及资信证明文件</w:t>
      </w:r>
    </w:p>
    <w:p w14:paraId="13E8D530">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二-1单位授权书（若有）</w:t>
      </w:r>
    </w:p>
    <w:p w14:paraId="2806BB6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w:t>
      </w:r>
      <w:r>
        <w:rPr>
          <w:rFonts w:hint="eastAsia" w:asciiTheme="minorEastAsia" w:hAnsiTheme="minorEastAsia" w:eastAsiaTheme="minorEastAsia" w:cstheme="minorEastAsia"/>
          <w:color w:val="auto"/>
          <w:highlight w:val="none"/>
          <w:u w:val="single"/>
        </w:rPr>
        <w:t>（采购人或采购代理机构）</w:t>
      </w:r>
    </w:p>
    <w:p w14:paraId="01B5A7F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我方的单位负责人</w:t>
      </w:r>
      <w:r>
        <w:rPr>
          <w:rFonts w:hint="eastAsia" w:asciiTheme="minorEastAsia" w:hAnsiTheme="minorEastAsia" w:eastAsiaTheme="minorEastAsia" w:cstheme="minorEastAsia"/>
          <w:color w:val="auto"/>
          <w:highlight w:val="none"/>
          <w:u w:val="single"/>
        </w:rPr>
        <w:t>（填写“单位负责人全名”）</w:t>
      </w:r>
      <w:r>
        <w:rPr>
          <w:rFonts w:hint="eastAsia" w:asciiTheme="minorEastAsia" w:hAnsiTheme="minorEastAsia" w:eastAsiaTheme="minorEastAsia" w:cstheme="minorEastAsia"/>
          <w:color w:val="auto"/>
          <w:highlight w:val="none"/>
        </w:rPr>
        <w:t>授权</w:t>
      </w:r>
      <w:r>
        <w:rPr>
          <w:rFonts w:hint="eastAsia" w:asciiTheme="minorEastAsia" w:hAnsiTheme="minorEastAsia" w:eastAsiaTheme="minorEastAsia" w:cstheme="minorEastAsia"/>
          <w:color w:val="auto"/>
          <w:highlight w:val="none"/>
          <w:u w:val="single"/>
        </w:rPr>
        <w:t>（填写“投标人代表全名”）</w:t>
      </w:r>
      <w:r>
        <w:rPr>
          <w:rFonts w:hint="eastAsia" w:asciiTheme="minorEastAsia" w:hAnsiTheme="minorEastAsia" w:eastAsiaTheme="minorEastAsia" w:cstheme="minorEastAsia"/>
          <w:color w:val="auto"/>
          <w:highlight w:val="none"/>
        </w:rPr>
        <w:t>为投标人代表，代表我方参加</w:t>
      </w:r>
      <w:r>
        <w:rPr>
          <w:rFonts w:hint="eastAsia" w:asciiTheme="minorEastAsia" w:hAnsiTheme="minorEastAsia" w:eastAsiaTheme="minorEastAsia" w:cstheme="minorEastAsia"/>
          <w:color w:val="auto"/>
          <w:highlight w:val="none"/>
          <w:u w:val="single"/>
        </w:rPr>
        <w:t>（填写“项目名称”）</w:t>
      </w:r>
      <w:r>
        <w:rPr>
          <w:rFonts w:hint="eastAsia" w:asciiTheme="minorEastAsia" w:hAnsiTheme="minorEastAsia" w:eastAsiaTheme="minorEastAsia" w:cstheme="minorEastAsia"/>
          <w:color w:val="auto"/>
          <w:highlight w:val="none"/>
        </w:rPr>
        <w:t>项目（项目编号：</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的投标，全权代表我方处理投标过程的一切事宜，包括但不限于：投标、参加开标、谈判、澄清、签约等。投标人代表在投标过程中所签署的一切文件和处理与之有关的一切事务，我方均予以认可并对此承担责任。</w:t>
      </w:r>
    </w:p>
    <w:p w14:paraId="4C2C2E0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投标人代表无转委权。特此授权。</w:t>
      </w:r>
    </w:p>
    <w:p w14:paraId="50F3F56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（以下无正文）</w:t>
      </w:r>
    </w:p>
    <w:p w14:paraId="6E313DE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单位负责人：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身份证号：</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手机：</w:t>
      </w:r>
      <w:r>
        <w:rPr>
          <w:rFonts w:hint="eastAsia" w:asciiTheme="minorEastAsia" w:hAnsiTheme="minorEastAsia" w:eastAsiaTheme="minorEastAsia" w:cstheme="minorEastAsia"/>
          <w:color w:val="auto"/>
          <w:highlight w:val="none"/>
          <w:u w:val="single"/>
        </w:rPr>
        <w:t>　　　　　</w:t>
      </w:r>
    </w:p>
    <w:p w14:paraId="45E93B0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投标人代表：</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身份证号：</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手机：</w:t>
      </w:r>
      <w:r>
        <w:rPr>
          <w:rFonts w:hint="eastAsia" w:asciiTheme="minorEastAsia" w:hAnsiTheme="minorEastAsia" w:eastAsiaTheme="minorEastAsia" w:cstheme="minorEastAsia"/>
          <w:color w:val="auto"/>
          <w:highlight w:val="none"/>
          <w:u w:val="single"/>
        </w:rPr>
        <w:t>　　　　　</w:t>
      </w:r>
    </w:p>
    <w:p w14:paraId="4A7520E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授权方</w:t>
      </w:r>
    </w:p>
    <w:p w14:paraId="674DA4A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30D67A41">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签署日期： 年 月 日</w:t>
      </w:r>
    </w:p>
    <w:p w14:paraId="2480193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附：单位负责人、投标人代表的身份证正反面复印件</w:t>
      </w:r>
    </w:p>
    <w:p w14:paraId="671AA32F">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要求：真实有效且内容完整、清晰、整洁。</w:t>
      </w:r>
    </w:p>
    <w:p w14:paraId="47C0FDE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3A197D5A">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1、企业（银行、保险、石油石化、电力、电信等行业除外）、事业单位和社会团体法人的“单位负责人”指法定代表人，即与实际提交的“营业执照等证明文件”载明的一致。</w:t>
      </w:r>
    </w:p>
    <w:p w14:paraId="60C5E2D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14:paraId="0EE6BFD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3、投标人（自然人除外）：若投标人代表为单位授权的委托代理人，应提供本授权书；若投标人代表为单位负责人，应在此项下提交其身份证正反面复印件，可不提供本授权书。</w:t>
      </w:r>
    </w:p>
    <w:p w14:paraId="60ADDD6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4、投标人为自然人的，可不填写本授权书。</w:t>
      </w:r>
    </w:p>
    <w:p w14:paraId="1B56B286">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534FBDD8">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二-2 证明材料</w:t>
      </w:r>
    </w:p>
    <w:p w14:paraId="6C98937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根据招标文件第四章第一资格审查的1.3的“④其他资格证明文件”要求，允许供应商采用资格承诺制的，可提供符合要求的二-2-1资格承诺函，视为满足招标文件的资格要求，投标人根据投标文件格式二-2-1、二-2-2提供其中一种证明材料，若重复提供导致的不利后果，由投标人自行负责。</w:t>
      </w:r>
    </w:p>
    <w:p w14:paraId="1D25EFDA">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二-2-1 福建省政府采购供应商资格承诺函</w:t>
      </w:r>
    </w:p>
    <w:p w14:paraId="110098C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w:t>
      </w:r>
      <w:r>
        <w:rPr>
          <w:rFonts w:hint="eastAsia" w:asciiTheme="minorEastAsia" w:hAnsiTheme="minorEastAsia" w:eastAsiaTheme="minorEastAsia" w:cstheme="minorEastAsia"/>
          <w:color w:val="auto"/>
          <w:highlight w:val="none"/>
          <w:u w:val="single"/>
        </w:rPr>
        <w:t>（采购人或采购代理机构）</w:t>
      </w:r>
    </w:p>
    <w:p w14:paraId="44547F3E">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单位名称(自然人姓名):</w:t>
      </w:r>
    </w:p>
    <w:p w14:paraId="28118FAF">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统一社会信用代码(自然人身份证号码):</w:t>
      </w:r>
    </w:p>
    <w:p w14:paraId="3499D0FB">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法定代表人(负责人):</w:t>
      </w:r>
    </w:p>
    <w:p w14:paraId="164AE6C7">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联系地址和电话:</w:t>
      </w:r>
    </w:p>
    <w:p w14:paraId="595D5D8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我单位(本人)自愿参加本次政府采购活动，严格遵守《中华人民共和国政府采购法》及相关法律法规，坚守公开、公平公正和诚实信用等原则，依法诚信经营，并郑重承诺:</w:t>
      </w:r>
    </w:p>
    <w:p w14:paraId="0A10002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一、我单位(本人)具备采购文件要求以及《中华人民共和国政府采购法》第二十二条规定的条件:</w:t>
      </w:r>
    </w:p>
    <w:p w14:paraId="250028FB">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1.具有独立承担民事责任的能力;</w:t>
      </w:r>
    </w:p>
    <w:p w14:paraId="1A8C9AEC">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2.具有良好的商业信誉和健全的财务会计制度;</w:t>
      </w:r>
    </w:p>
    <w:p w14:paraId="663A983A">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3.具有履行合同所必需的设备和专业技术能力;</w:t>
      </w:r>
    </w:p>
    <w:p w14:paraId="05F4A012">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4.有依法缴纳税收和社会保障资金的良好记录;</w:t>
      </w:r>
    </w:p>
    <w:p w14:paraId="00CD19FA">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5.参加政府采购活动前三年内，在经营活动中没有重大违法记录；</w:t>
      </w:r>
    </w:p>
    <w:p w14:paraId="7CC7C118">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6.法律、行政法规规定的其他条件。</w:t>
      </w:r>
    </w:p>
    <w:p w14:paraId="68CA43D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3847F36A">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单位(本人)对本承诺函及所承诺事项的真实性、合法性及有效性负责，并已知晓如提供资格承诺函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55F11FF0">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w:t>
      </w:r>
      <w:r>
        <w:rPr>
          <w:rFonts w:hint="eastAsia" w:asciiTheme="minorEastAsia" w:hAnsiTheme="minorEastAsia" w:eastAsiaTheme="minorEastAsia" w:cstheme="minorEastAsia"/>
          <w:color w:val="auto"/>
          <w:highlight w:val="none"/>
          <w:u w:val="single"/>
        </w:rPr>
        <w:t>名称(单位公章)</w:t>
      </w:r>
    </w:p>
    <w:p w14:paraId="0D416F95">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5EE7187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w:t>
      </w:r>
    </w:p>
    <w:p w14:paraId="03628176">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1.我单位(本人)专指参加政府采购活动的供应商(含自然人)；</w:t>
      </w:r>
    </w:p>
    <w:p w14:paraId="72700727">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2.资格承诺的供应商应在投标(响应)文件中按此模板提供承诺函，否则，视为未按照招标文件规定提交投标人的资格及资信文件，按资格审查不通过处理。</w:t>
      </w:r>
    </w:p>
    <w:p w14:paraId="295D718F">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2C0A36D8">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二-2-2 资格证明材料</w:t>
      </w:r>
    </w:p>
    <w:p w14:paraId="52CD29EF">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营业执照等证明文件</w:t>
      </w:r>
    </w:p>
    <w:p w14:paraId="101E520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w:t>
      </w:r>
      <w:r>
        <w:rPr>
          <w:rFonts w:hint="eastAsia" w:asciiTheme="minorEastAsia" w:hAnsiTheme="minorEastAsia" w:eastAsiaTheme="minorEastAsia" w:cstheme="minorEastAsia"/>
          <w:color w:val="auto"/>
          <w:highlight w:val="none"/>
          <w:u w:val="single"/>
        </w:rPr>
        <w:t>（采购人或采购代理机构）</w:t>
      </w:r>
    </w:p>
    <w:p w14:paraId="3C01E6A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）投标人为法人（包括企业、事业单位和社会团体）的</w:t>
      </w:r>
    </w:p>
    <w:p w14:paraId="4853802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现附上由</w:t>
      </w:r>
      <w:r>
        <w:rPr>
          <w:rFonts w:hint="eastAsia" w:asciiTheme="minorEastAsia" w:hAnsiTheme="minorEastAsia" w:eastAsiaTheme="minorEastAsia" w:cstheme="minorEastAsia"/>
          <w:color w:val="auto"/>
          <w:highlight w:val="none"/>
          <w:u w:val="single"/>
        </w:rPr>
        <w:t>（（填写“签发机关全称”）</w:t>
      </w:r>
      <w:r>
        <w:rPr>
          <w:rFonts w:hint="eastAsia" w:asciiTheme="minorEastAsia" w:hAnsiTheme="minorEastAsia" w:eastAsiaTheme="minorEastAsia" w:cstheme="minorEastAsia"/>
          <w:color w:val="auto"/>
          <w:highlight w:val="none"/>
        </w:rPr>
        <w:t>签发的我方统一社会信用代码（请填写法人的具体证照名称）复印件，该证明材料真实有效，否则我方负全部责任。</w:t>
      </w:r>
    </w:p>
    <w:p w14:paraId="1965EFF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）投标人为非法人（包括其他组织、自然人）的</w:t>
      </w:r>
    </w:p>
    <w:p w14:paraId="306D3DC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□现附上由</w:t>
      </w:r>
      <w:r>
        <w:rPr>
          <w:rFonts w:hint="eastAsia" w:asciiTheme="minorEastAsia" w:hAnsiTheme="minorEastAsia" w:eastAsiaTheme="minorEastAsia" w:cstheme="minorEastAsia"/>
          <w:color w:val="auto"/>
          <w:highlight w:val="none"/>
          <w:u w:val="single"/>
        </w:rPr>
        <w:t>（（填写“签发机关全称”）</w:t>
      </w:r>
      <w:r>
        <w:rPr>
          <w:rFonts w:hint="eastAsia" w:asciiTheme="minorEastAsia" w:hAnsiTheme="minorEastAsia" w:eastAsiaTheme="minorEastAsia" w:cstheme="minorEastAsia"/>
          <w:color w:val="auto"/>
          <w:highlight w:val="none"/>
        </w:rPr>
        <w:t>签发的我方（请填写非自然人的非法人的具体证照名称）复印件，该证明材料真实有效，否则我方负全部责任。</w:t>
      </w:r>
    </w:p>
    <w:p w14:paraId="4B3423DA">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□现附上由</w:t>
      </w:r>
      <w:r>
        <w:rPr>
          <w:rFonts w:hint="eastAsia" w:asciiTheme="minorEastAsia" w:hAnsiTheme="minorEastAsia" w:eastAsiaTheme="minorEastAsia" w:cstheme="minorEastAsia"/>
          <w:color w:val="auto"/>
          <w:highlight w:val="none"/>
          <w:u w:val="single"/>
        </w:rPr>
        <w:t>（（填写“签发机关全称”）</w:t>
      </w:r>
      <w:r>
        <w:rPr>
          <w:rFonts w:hint="eastAsia" w:asciiTheme="minorEastAsia" w:hAnsiTheme="minorEastAsia" w:eastAsiaTheme="minorEastAsia" w:cstheme="minorEastAsia"/>
          <w:color w:val="auto"/>
          <w:highlight w:val="none"/>
        </w:rPr>
        <w:t>签发的我方（请填写自然人的身份证件名称）复印件，该证明材料真实有效，否则我方负全部责任。</w:t>
      </w:r>
    </w:p>
    <w:p w14:paraId="5294C1C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5C664EB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1、请投标人按照实际情况编制填写，在相应的（）中打“√”并选择相应的“□”（若有）后，再按照本格式的要求提供相应证明材料的复印件。</w:t>
      </w:r>
    </w:p>
    <w:p w14:paraId="541BC14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14:paraId="0062510E">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75F91B73">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25379847">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6A2C331E">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财务状况报告（财务报告、或资信证明）</w:t>
      </w:r>
    </w:p>
    <w:p w14:paraId="1BE688D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w:t>
      </w:r>
      <w:r>
        <w:rPr>
          <w:rFonts w:hint="eastAsia" w:asciiTheme="minorEastAsia" w:hAnsiTheme="minorEastAsia" w:eastAsiaTheme="minorEastAsia" w:cstheme="minorEastAsia"/>
          <w:color w:val="auto"/>
          <w:highlight w:val="none"/>
          <w:u w:val="single"/>
        </w:rPr>
        <w:t>（采购人或采购代理机构）</w:t>
      </w:r>
    </w:p>
    <w:p w14:paraId="6652E8E3">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）投标人提供财务报告的</w:t>
      </w:r>
    </w:p>
    <w:p w14:paraId="647A762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□企业适用：现附上我方</w:t>
      </w:r>
      <w:r>
        <w:rPr>
          <w:rFonts w:hint="eastAsia" w:asciiTheme="minorEastAsia" w:hAnsiTheme="minorEastAsia" w:eastAsiaTheme="minorEastAsia" w:cstheme="minorEastAsia"/>
          <w:color w:val="auto"/>
          <w:highlight w:val="none"/>
          <w:u w:val="single"/>
        </w:rPr>
        <w:t>（填写“具体的年度、或半年度、季度”）</w:t>
      </w:r>
      <w:r>
        <w:rPr>
          <w:rFonts w:hint="eastAsia" w:asciiTheme="minorEastAsia" w:hAnsiTheme="minorEastAsia" w:eastAsiaTheme="minorEastAsia" w:cstheme="minorEastAsia"/>
          <w:color w:val="auto"/>
          <w:highlight w:val="none"/>
        </w:rPr>
        <w:t>财务报告复印件，包括资产负债表、利润表、现金流量表、所有者权益变动表（若有）及其附注（若有）、会计师事务所营业执照和注册会计师资格证书，上述证明材料真实有效，否则我方负全部责任。</w:t>
      </w:r>
    </w:p>
    <w:p w14:paraId="6924583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□事业单位适用：现附上我方</w:t>
      </w:r>
      <w:r>
        <w:rPr>
          <w:rFonts w:hint="eastAsia" w:asciiTheme="minorEastAsia" w:hAnsiTheme="minorEastAsia" w:eastAsiaTheme="minorEastAsia" w:cstheme="minorEastAsia"/>
          <w:color w:val="auto"/>
          <w:highlight w:val="none"/>
          <w:u w:val="single"/>
        </w:rPr>
        <w:t>（填写“具体的年度、或半年度、或季度”）</w:t>
      </w:r>
      <w:r>
        <w:rPr>
          <w:rFonts w:hint="eastAsia" w:asciiTheme="minorEastAsia" w:hAnsiTheme="minorEastAsia" w:eastAsiaTheme="minorEastAsia" w:cstheme="minorEastAsia"/>
          <w:color w:val="auto"/>
          <w:highlight w:val="none"/>
        </w:rPr>
        <w:t>财务报告复印件，包括资产负债表、收入支出表（或收入费用表）、财政补助收入支出表（若有）、会计师事务所营业执照和注册会计师资格证书，上述证明材料真实有效，否则我方负全部责任。</w:t>
      </w:r>
    </w:p>
    <w:p w14:paraId="07AC6BE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□社会团体、民办非企适用：现附上我方</w:t>
      </w:r>
      <w:r>
        <w:rPr>
          <w:rFonts w:hint="eastAsia" w:asciiTheme="minorEastAsia" w:hAnsiTheme="minorEastAsia" w:eastAsiaTheme="minorEastAsia" w:cstheme="minorEastAsia"/>
          <w:color w:val="auto"/>
          <w:highlight w:val="none"/>
          <w:u w:val="single"/>
        </w:rPr>
        <w:t>（填写“具体的年度、或半年度、或季度”）</w:t>
      </w:r>
      <w:r>
        <w:rPr>
          <w:rFonts w:hint="eastAsia" w:asciiTheme="minorEastAsia" w:hAnsiTheme="minorEastAsia" w:eastAsiaTheme="minorEastAsia" w:cstheme="minorEastAsia"/>
          <w:color w:val="auto"/>
          <w:highlight w:val="none"/>
        </w:rPr>
        <w:t>财务报告复印件，包括资产负债表、业务活动表、现金流量表、会计师事务所营业执照和注册会计师资格证书，上述证明材料真实有效，否则我方负全部责任。</w:t>
      </w:r>
    </w:p>
    <w:p w14:paraId="774A909A">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）投标人提供资信证明的</w:t>
      </w:r>
    </w:p>
    <w:p w14:paraId="07AC2E4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□非自然人适用（包括企业、事业单位、社会团体和其他组织）：现附上我方银行：</w:t>
      </w:r>
      <w:r>
        <w:rPr>
          <w:rFonts w:hint="eastAsia" w:asciiTheme="minorEastAsia" w:hAnsiTheme="minorEastAsia" w:eastAsiaTheme="minorEastAsia" w:cstheme="minorEastAsia"/>
          <w:color w:val="auto"/>
          <w:highlight w:val="none"/>
          <w:u w:val="single"/>
        </w:rPr>
        <w:t>（填写“开户银行全称”）</w:t>
      </w:r>
      <w:r>
        <w:rPr>
          <w:rFonts w:hint="eastAsia" w:asciiTheme="minorEastAsia" w:hAnsiTheme="minorEastAsia" w:eastAsiaTheme="minorEastAsia" w:cstheme="minorEastAsia"/>
          <w:color w:val="auto"/>
          <w:highlight w:val="none"/>
        </w:rPr>
        <w:t>出具的资信证明复印件，上述证明材料真实有效，否则我方负全部责任。</w:t>
      </w:r>
    </w:p>
    <w:p w14:paraId="5D09019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□自然人适用：现附上我方银行</w:t>
      </w:r>
      <w:r>
        <w:rPr>
          <w:rFonts w:hint="eastAsia" w:asciiTheme="minorEastAsia" w:hAnsiTheme="minorEastAsia" w:eastAsiaTheme="minorEastAsia" w:cstheme="minorEastAsia"/>
          <w:color w:val="auto"/>
          <w:highlight w:val="none"/>
          <w:u w:val="single"/>
        </w:rPr>
        <w:t>：（填写自然人的“个人账户的开户银行全称”）</w:t>
      </w:r>
      <w:r>
        <w:rPr>
          <w:rFonts w:hint="eastAsia" w:asciiTheme="minorEastAsia" w:hAnsiTheme="minorEastAsia" w:eastAsiaTheme="minorEastAsia" w:cstheme="minorEastAsia"/>
          <w:color w:val="auto"/>
          <w:highlight w:val="none"/>
        </w:rPr>
        <w:t>出具的资信证明复印件，上述证明材料真实有效，否则我方负全部责任。</w:t>
      </w:r>
    </w:p>
    <w:p w14:paraId="112593A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47329DC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1、请投标人按照实际情况编制填写，在相应的（）中打“√”并选择相应的“□”（若有）后，再按照本格式的要求提供相应证明材料的复印件。</w:t>
      </w:r>
    </w:p>
    <w:p w14:paraId="1679E28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2、投标人提供的财务报告复印件（成立年限按照投标截止时间推算）应符合下列规定：</w:t>
      </w:r>
    </w:p>
    <w:p w14:paraId="7BBA512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2.1成立年限满1年及以上的投标人，提供经审计的招标文件规定的年度财务报告。</w:t>
      </w:r>
    </w:p>
    <w:p w14:paraId="65739283">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2.2成立年限满半年但不足1年的投标人，提供该半年度中任一季度的季度财务报告或该半年度的半年度财务报告。</w:t>
      </w:r>
    </w:p>
    <w:p w14:paraId="140BE7A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14:paraId="4E42304D">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41397C5F">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741A15C6">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4FC86701">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依法缴纳税收证明材料</w:t>
      </w:r>
    </w:p>
    <w:p w14:paraId="66D9DC6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w:t>
      </w:r>
      <w:r>
        <w:rPr>
          <w:rFonts w:hint="eastAsia" w:asciiTheme="minorEastAsia" w:hAnsiTheme="minorEastAsia" w:eastAsiaTheme="minorEastAsia" w:cstheme="minorEastAsia"/>
          <w:color w:val="auto"/>
          <w:highlight w:val="none"/>
          <w:u w:val="single"/>
        </w:rPr>
        <w:t>（采购人或采购代理机构）</w:t>
      </w:r>
    </w:p>
    <w:p w14:paraId="444EB90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1、依法缴纳税收的投标人</w:t>
      </w:r>
    </w:p>
    <w:p w14:paraId="370AC70A">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）法人（包括企业、事业单位和社会团体）的</w:t>
      </w:r>
    </w:p>
    <w:p w14:paraId="1A8B3A0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现附上自</w:t>
      </w:r>
      <w:r>
        <w:rPr>
          <w:rFonts w:hint="eastAsia" w:asciiTheme="minorEastAsia" w:hAnsiTheme="minorEastAsia" w:eastAsiaTheme="minorEastAsia" w:cstheme="minorEastAsia"/>
          <w:color w:val="auto"/>
          <w:highlight w:val="none"/>
          <w:u w:val="single"/>
        </w:rPr>
        <w:t>　　年　　月　　日</w:t>
      </w:r>
      <w:r>
        <w:rPr>
          <w:rFonts w:hint="eastAsia" w:asciiTheme="minorEastAsia" w:hAnsiTheme="minorEastAsia" w:eastAsiaTheme="minorEastAsia" w:cstheme="minorEastAsia"/>
          <w:color w:val="auto"/>
          <w:highlight w:val="none"/>
        </w:rPr>
        <w:t>至</w:t>
      </w:r>
      <w:r>
        <w:rPr>
          <w:rFonts w:hint="eastAsia" w:asciiTheme="minorEastAsia" w:hAnsiTheme="minorEastAsia" w:eastAsiaTheme="minorEastAsia" w:cstheme="minorEastAsia"/>
          <w:color w:val="auto"/>
          <w:highlight w:val="none"/>
          <w:u w:val="single"/>
        </w:rPr>
        <w:t>　　年　　月　　日</w:t>
      </w:r>
      <w:r>
        <w:rPr>
          <w:rFonts w:hint="eastAsia" w:asciiTheme="minorEastAsia" w:hAnsiTheme="minorEastAsia" w:eastAsiaTheme="minorEastAsia" w:cstheme="minorEastAsia"/>
          <w:color w:val="auto"/>
          <w:highlight w:val="none"/>
        </w:rPr>
        <w:t>期间我方缴纳（包括但不限于税务机关出具的专用收据、税收缴纳证明或税收代缴银行的缴款收讫凭证）等税收凭据复印件，上述证明材料真实有效，否则我方负全部责任。</w:t>
      </w:r>
    </w:p>
    <w:p w14:paraId="1FDCBA9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）非法人（包括其他组织、自然人）的</w:t>
      </w:r>
    </w:p>
    <w:p w14:paraId="556EE1E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现附上自</w:t>
      </w:r>
      <w:r>
        <w:rPr>
          <w:rFonts w:hint="eastAsia" w:asciiTheme="minorEastAsia" w:hAnsiTheme="minorEastAsia" w:eastAsiaTheme="minorEastAsia" w:cstheme="minorEastAsia"/>
          <w:color w:val="auto"/>
          <w:highlight w:val="none"/>
          <w:u w:val="single"/>
        </w:rPr>
        <w:t>　　年　　月　　日</w:t>
      </w:r>
      <w:r>
        <w:rPr>
          <w:rFonts w:hint="eastAsia" w:asciiTheme="minorEastAsia" w:hAnsiTheme="minorEastAsia" w:eastAsiaTheme="minorEastAsia" w:cstheme="minorEastAsia"/>
          <w:color w:val="auto"/>
          <w:highlight w:val="none"/>
        </w:rPr>
        <w:t>至</w:t>
      </w:r>
      <w:r>
        <w:rPr>
          <w:rFonts w:hint="eastAsia" w:asciiTheme="minorEastAsia" w:hAnsiTheme="minorEastAsia" w:eastAsiaTheme="minorEastAsia" w:cstheme="minorEastAsia"/>
          <w:color w:val="auto"/>
          <w:highlight w:val="none"/>
          <w:u w:val="single"/>
        </w:rPr>
        <w:t>　　年　　月　　日</w:t>
      </w:r>
      <w:r>
        <w:rPr>
          <w:rFonts w:hint="eastAsia" w:asciiTheme="minorEastAsia" w:hAnsiTheme="minorEastAsia" w:eastAsiaTheme="minorEastAsia" w:cstheme="minorEastAsia"/>
          <w:color w:val="auto"/>
          <w:highlight w:val="none"/>
        </w:rPr>
        <w:t>期间我方缴纳（包括但不限于税务机关出具的专用收据、税收缴纳证明或税收代缴银行的缴款收讫凭证）等税收凭据复印件，上述证明材料真实有效，否则我方负全部责任。</w:t>
      </w:r>
    </w:p>
    <w:p w14:paraId="48E284D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2、依法免税的投标人</w:t>
      </w:r>
    </w:p>
    <w:p w14:paraId="0F8A892A">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）现附上我方依法免税的证明材料复印件，上述证明材料真实有效，否则我方负全部责任。</w:t>
      </w:r>
    </w:p>
    <w:p w14:paraId="3CF9326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1D943DD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1、请投标人按照实际情况编制填写，在相应的（）中打“√”，并按照本格式的要求提供相应证明材料的复印件。</w:t>
      </w:r>
    </w:p>
    <w:p w14:paraId="1262173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2、投标人提供的税收缴纳凭据复印件应符合下列规定：</w:t>
      </w:r>
    </w:p>
    <w:p w14:paraId="183A77D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2.1投标截止时间前（不含投标截止时间的当月）已依法缴纳税收的投标人，提供投标截止时间前六个月（不含投标截止时间的当月）中任一月份的税收缴纳凭据复印件。</w:t>
      </w:r>
    </w:p>
    <w:p w14:paraId="58C5D37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2.2投标截止时间的当月成立的投标人，视同满足本项资格条件要求。</w:t>
      </w:r>
    </w:p>
    <w:p w14:paraId="7B4B9F9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3、若为依法免税范围的投标人，提供依法免税证明材料的，视同满足本项资格条件要求。</w:t>
      </w:r>
    </w:p>
    <w:p w14:paraId="2991CE4A">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25ECFE3D">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04E7B08F">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3B8B0166">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依法缴纳社会保障资金证明材料</w:t>
      </w:r>
    </w:p>
    <w:p w14:paraId="666A042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w:t>
      </w:r>
      <w:r>
        <w:rPr>
          <w:rFonts w:hint="eastAsia" w:asciiTheme="minorEastAsia" w:hAnsiTheme="minorEastAsia" w:eastAsiaTheme="minorEastAsia" w:cstheme="minorEastAsia"/>
          <w:color w:val="auto"/>
          <w:highlight w:val="none"/>
          <w:u w:val="single"/>
        </w:rPr>
        <w:t>（采购人或采购代理机构）</w:t>
      </w:r>
    </w:p>
    <w:p w14:paraId="19DB52A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1、依法缴纳社会保障资金的投标人</w:t>
      </w:r>
    </w:p>
    <w:p w14:paraId="448CB11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）法人（包括企业、事业单位和社会团体）的</w:t>
      </w:r>
    </w:p>
    <w:p w14:paraId="3165AF9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现附上自</w:t>
      </w:r>
      <w:r>
        <w:rPr>
          <w:rFonts w:hint="eastAsia" w:asciiTheme="minorEastAsia" w:hAnsiTheme="minorEastAsia" w:eastAsiaTheme="minorEastAsia" w:cstheme="minorEastAsia"/>
          <w:color w:val="auto"/>
          <w:highlight w:val="none"/>
          <w:u w:val="single"/>
        </w:rPr>
        <w:t>　　年　　月　　日</w:t>
      </w:r>
      <w:r>
        <w:rPr>
          <w:rFonts w:hint="eastAsia" w:asciiTheme="minorEastAsia" w:hAnsiTheme="minorEastAsia" w:eastAsiaTheme="minorEastAsia" w:cstheme="minorEastAsia"/>
          <w:color w:val="auto"/>
          <w:highlight w:val="none"/>
        </w:rPr>
        <w:t>至</w:t>
      </w:r>
      <w:r>
        <w:rPr>
          <w:rFonts w:hint="eastAsia" w:asciiTheme="minorEastAsia" w:hAnsiTheme="minorEastAsia" w:eastAsiaTheme="minorEastAsia" w:cstheme="minorEastAsia"/>
          <w:color w:val="auto"/>
          <w:highlight w:val="none"/>
          <w:u w:val="single"/>
        </w:rPr>
        <w:t>　　年　　月　　日</w:t>
      </w:r>
      <w:r>
        <w:rPr>
          <w:rFonts w:hint="eastAsia" w:asciiTheme="minorEastAsia" w:hAnsiTheme="minorEastAsia" w:eastAsiaTheme="minorEastAsia" w:cstheme="minorEastAsia"/>
          <w:color w:val="auto"/>
          <w:highlight w:val="none"/>
        </w:rPr>
        <w:t>我方缴纳的社会保险凭据（限：税务机关/社会保障资金管理机关的专用收据或社会保险缴纳清单，或社会保险的银行缴款收讫凭证）复印件，上述证明材料真实有效，否则我方负全部责任。</w:t>
      </w:r>
    </w:p>
    <w:p w14:paraId="2416EFF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）非法人（包括其他组织、自然人）的</w:t>
      </w:r>
    </w:p>
    <w:p w14:paraId="408CDB1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自</w:t>
      </w:r>
      <w:r>
        <w:rPr>
          <w:rFonts w:hint="eastAsia" w:asciiTheme="minorEastAsia" w:hAnsiTheme="minorEastAsia" w:eastAsiaTheme="minorEastAsia" w:cstheme="minorEastAsia"/>
          <w:color w:val="auto"/>
          <w:highlight w:val="none"/>
          <w:u w:val="single"/>
        </w:rPr>
        <w:t>　　年　　月　　日</w:t>
      </w:r>
      <w:r>
        <w:rPr>
          <w:rFonts w:hint="eastAsia" w:asciiTheme="minorEastAsia" w:hAnsiTheme="minorEastAsia" w:eastAsiaTheme="minorEastAsia" w:cstheme="minorEastAsia"/>
          <w:color w:val="auto"/>
          <w:highlight w:val="none"/>
        </w:rPr>
        <w:t>至</w:t>
      </w:r>
      <w:r>
        <w:rPr>
          <w:rFonts w:hint="eastAsia" w:asciiTheme="minorEastAsia" w:hAnsiTheme="minorEastAsia" w:eastAsiaTheme="minorEastAsia" w:cstheme="minorEastAsia"/>
          <w:color w:val="auto"/>
          <w:highlight w:val="none"/>
          <w:u w:val="single"/>
        </w:rPr>
        <w:t>　　年　　月　　日</w:t>
      </w:r>
      <w:r>
        <w:rPr>
          <w:rFonts w:hint="eastAsia" w:asciiTheme="minorEastAsia" w:hAnsiTheme="minorEastAsia" w:eastAsiaTheme="minorEastAsia" w:cstheme="minorEastAsia"/>
          <w:color w:val="auto"/>
          <w:highlight w:val="none"/>
        </w:rPr>
        <w:t>我方缴纳的社会保险凭据（限：税务机关/社会保障资金管理机关的专用收据或社会保险缴纳清单，或社会保险的银行缴款收讫凭证）复印件，上述证明材料真实有效，否则我方负全部责任。</w:t>
      </w:r>
    </w:p>
    <w:p w14:paraId="528E33E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2、依法不需要缴纳或暂缓缴纳社会保障资金的投标人</w:t>
      </w:r>
    </w:p>
    <w:p w14:paraId="7EEF3113">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）现附上我方依法不需要缴纳或暂缓缴纳社会保障资金证明材料复印件，上述证明材料真实有效，否则我方负全部责任。</w:t>
      </w:r>
    </w:p>
    <w:p w14:paraId="021D34D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41DB254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1、请投标人按照实际情况编制填写，在相应的（）中打“√”，并按照本格式的要求提供相应证明材料的复印件。</w:t>
      </w:r>
    </w:p>
    <w:p w14:paraId="061005E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2、投标人提供的社会保障资金缴纳凭据复印件应符合下列规定：</w:t>
      </w:r>
    </w:p>
    <w:p w14:paraId="4968A7A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2.1投标截止时间前（不含投标截止时间的当月）已依法缴纳社会保障资金的投标人，提供投标截止时间前六个月（不含投标截止时间的当月）中任一月份的社会保障资金缴纳凭据复印件。</w:t>
      </w:r>
    </w:p>
    <w:p w14:paraId="00881BE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2.2投标截止时间的当月成立的投标人，视同满足本项资格条件要求。</w:t>
      </w:r>
    </w:p>
    <w:p w14:paraId="549DE32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3、若为依法不需要缴纳或暂缓缴纳社会保障资金的投标人，提供依法不需要缴纳或暂缓缴纳社会保障资金证明材料的，视同满足本项资格条件要求。</w:t>
      </w:r>
    </w:p>
    <w:p w14:paraId="02D8191C">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016B667D">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67C29B11">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20DC048D">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具备履行合同所必需设备和专业技术能力的声明函（若有）</w:t>
      </w:r>
    </w:p>
    <w:p w14:paraId="05CF24A9">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w:t>
      </w:r>
      <w:r>
        <w:rPr>
          <w:rFonts w:hint="eastAsia" w:asciiTheme="minorEastAsia" w:hAnsiTheme="minorEastAsia" w:eastAsiaTheme="minorEastAsia" w:cstheme="minorEastAsia"/>
          <w:color w:val="auto"/>
          <w:highlight w:val="none"/>
          <w:u w:val="single"/>
        </w:rPr>
        <w:t>（采购人或采购代理机构）</w:t>
      </w:r>
    </w:p>
    <w:p w14:paraId="0BD923A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我方具备履行合同所必需的设备和专业技术能力，否则产生不利后果由我方承担责任。</w:t>
      </w:r>
    </w:p>
    <w:p w14:paraId="7703581B">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特此声明。</w:t>
      </w:r>
    </w:p>
    <w:p w14:paraId="0A012E1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7A4B600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1、招标文件未要求投标人提供“具备履行合同所必需的设备和专业技术能力专项证明材料”的，投标人应提供本声明函。</w:t>
      </w:r>
    </w:p>
    <w:p w14:paraId="7780F683">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2、招标文件要求投标人提供“具备履行合同所必需的设备和专业技术能力专项证明材料”的，投标人可不提供本声明函。</w:t>
      </w:r>
    </w:p>
    <w:p w14:paraId="3D68DC8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3、请投标人根据实际情况如实声明，否则视为提供虚假材料。</w:t>
      </w:r>
    </w:p>
    <w:p w14:paraId="201F815C">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69AE02F1">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78081099">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78514325">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参加采购活动前三年内在经营活动中没有重大违法记录书面声明</w:t>
      </w:r>
    </w:p>
    <w:p w14:paraId="5680487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w:t>
      </w:r>
      <w:r>
        <w:rPr>
          <w:rFonts w:hint="eastAsia" w:asciiTheme="minorEastAsia" w:hAnsiTheme="minorEastAsia" w:eastAsiaTheme="minorEastAsia" w:cstheme="minorEastAsia"/>
          <w:color w:val="auto"/>
          <w:highlight w:val="none"/>
          <w:u w:val="single"/>
        </w:rPr>
        <w:t>（采购人或采购代理机构）</w:t>
      </w:r>
    </w:p>
    <w:p w14:paraId="2B07D1F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参加采购活动前三年内，我方在经营活动中没有重大违法记录，即没有因违法经营受到刑事处罚或责令停产停业、吊销许可证或执照、较大数额罚款等行政处罚。否则产生不利后果由我方承担责任。</w:t>
      </w:r>
    </w:p>
    <w:p w14:paraId="1EA3C37D">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特此声明。</w:t>
      </w:r>
    </w:p>
    <w:p w14:paraId="5C3FD8D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663B432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666D2BD3">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请投标人根据实际情况如实声明，否则视为提供虚假材料。</w:t>
      </w:r>
    </w:p>
    <w:p w14:paraId="7B24F1B8">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150AA948">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119E5965">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102CD89B">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二-3信用记录查询提示</w:t>
      </w:r>
    </w:p>
    <w:p w14:paraId="69B6BCC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1、由资格审查小组通过网站查询并打印投标人的信用记录。</w:t>
      </w:r>
    </w:p>
    <w:p w14:paraId="6D69BE6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14:paraId="0F620A0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14:paraId="48812E41">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00C39D36">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二-4中小企业声明函</w:t>
      </w:r>
    </w:p>
    <w:p w14:paraId="058FF148">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（以资格条件落实中小企业扶持政策时适用，若有）</w:t>
      </w:r>
    </w:p>
    <w:p w14:paraId="210A34FB">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中小企业声明函（货物）</w:t>
      </w:r>
    </w:p>
    <w:p w14:paraId="0794A169">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（单位名称）</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u w:val="single"/>
        </w:rPr>
        <w:t>（项目名称）</w:t>
      </w:r>
      <w:r>
        <w:rPr>
          <w:rFonts w:hint="eastAsia" w:asciiTheme="minorEastAsia" w:hAnsiTheme="minorEastAsia" w:eastAsiaTheme="minorEastAsia" w:cstheme="minorEastAsia"/>
          <w:color w:val="auto"/>
          <w:highlight w:val="none"/>
        </w:rPr>
        <w:t>采购活动，提供的货物全部由符合政策要求的中小企业制造。相关企业（含联合体中的中小企业、签订分包意向协议的中小企业）的具体情况如下：</w:t>
      </w:r>
    </w:p>
    <w:p w14:paraId="3FEA004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u w:val="single"/>
        </w:rPr>
        <w:t xml:space="preserve"> （标的名称） </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（采购文件中明确的所属行业）</w:t>
      </w:r>
      <w:r>
        <w:rPr>
          <w:rFonts w:hint="eastAsia" w:asciiTheme="minorEastAsia" w:hAnsiTheme="minorEastAsia" w:eastAsiaTheme="minorEastAsia" w:cstheme="minorEastAsia"/>
          <w:color w:val="auto"/>
          <w:highlight w:val="none"/>
        </w:rPr>
        <w:t>行业；制造商为</w:t>
      </w:r>
      <w:r>
        <w:rPr>
          <w:rFonts w:hint="eastAsia" w:asciiTheme="minorEastAsia" w:hAnsiTheme="minorEastAsia" w:eastAsiaTheme="minorEastAsia" w:cstheme="minorEastAsia"/>
          <w:color w:val="auto"/>
          <w:highlight w:val="none"/>
          <w:u w:val="single"/>
        </w:rPr>
        <w:t>（企业名称）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万元¹，属于</w:t>
      </w:r>
      <w:r>
        <w:rPr>
          <w:rFonts w:hint="eastAsia" w:asciiTheme="minorEastAsia" w:hAnsiTheme="minorEastAsia" w:eastAsiaTheme="minorEastAsia" w:cstheme="minorEastAsia"/>
          <w:color w:val="auto"/>
          <w:highlight w:val="none"/>
          <w:u w:val="single"/>
        </w:rPr>
        <w:t>（中型企业、小型企业、微型企业）</w:t>
      </w:r>
      <w:r>
        <w:rPr>
          <w:rFonts w:hint="eastAsia" w:asciiTheme="minorEastAsia" w:hAnsiTheme="minorEastAsia" w:eastAsiaTheme="minorEastAsia" w:cstheme="minorEastAsia"/>
          <w:color w:val="auto"/>
          <w:highlight w:val="none"/>
        </w:rPr>
        <w:t>；</w:t>
      </w:r>
    </w:p>
    <w:p w14:paraId="11557699">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r>
        <w:rPr>
          <w:rFonts w:hint="eastAsia" w:asciiTheme="minorEastAsia" w:hAnsiTheme="minorEastAsia" w:eastAsiaTheme="minorEastAsia" w:cstheme="minorEastAsia"/>
          <w:color w:val="auto"/>
          <w:highlight w:val="none"/>
          <w:u w:val="single"/>
        </w:rPr>
        <w:t xml:space="preserve"> （标的名称） </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（采购文件中明确的所属行业）</w:t>
      </w:r>
      <w:r>
        <w:rPr>
          <w:rFonts w:hint="eastAsia" w:asciiTheme="minorEastAsia" w:hAnsiTheme="minorEastAsia" w:eastAsiaTheme="minorEastAsia" w:cstheme="minorEastAsia"/>
          <w:color w:val="auto"/>
          <w:highlight w:val="none"/>
        </w:rPr>
        <w:t>行业；制造商为</w:t>
      </w:r>
      <w:r>
        <w:rPr>
          <w:rFonts w:hint="eastAsia" w:asciiTheme="minorEastAsia" w:hAnsiTheme="minorEastAsia" w:eastAsiaTheme="minorEastAsia" w:cstheme="minorEastAsia"/>
          <w:color w:val="auto"/>
          <w:highlight w:val="none"/>
          <w:u w:val="single"/>
        </w:rPr>
        <w:t>（企业名称）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万元，属于</w:t>
      </w:r>
      <w:r>
        <w:rPr>
          <w:rFonts w:hint="eastAsia" w:asciiTheme="minorEastAsia" w:hAnsiTheme="minorEastAsia" w:eastAsiaTheme="minorEastAsia" w:cstheme="minorEastAsia"/>
          <w:color w:val="auto"/>
          <w:highlight w:val="none"/>
          <w:u w:val="single"/>
        </w:rPr>
        <w:t>（中型企业、小型企业、微型企业）</w:t>
      </w:r>
      <w:r>
        <w:rPr>
          <w:rFonts w:hint="eastAsia" w:asciiTheme="minorEastAsia" w:hAnsiTheme="minorEastAsia" w:eastAsiaTheme="minorEastAsia" w:cstheme="minorEastAsia"/>
          <w:color w:val="auto"/>
          <w:highlight w:val="none"/>
        </w:rPr>
        <w:t>；</w:t>
      </w:r>
    </w:p>
    <w:p w14:paraId="34D4D0F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4648047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以上企业，不属于大企业的分支机构，不存在控股股东为大企业的情形，也不存在与大企业的负责人为同一人的情形。</w:t>
      </w:r>
    </w:p>
    <w:p w14:paraId="7521B3C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本企业对上述声明内容的真实性负责。如有虚假，将依法承担相应责任。</w:t>
      </w:r>
    </w:p>
    <w:p w14:paraId="770AA64D">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5D634D74">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6A6F61A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1527FBF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1、从业人员、营业收入、资产总额填报上一年度数据，无上一年度数据的新成立企业可不填报。</w:t>
      </w:r>
    </w:p>
    <w:p w14:paraId="69DE5CE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041707C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08A8134C">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3B123195">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中小企业声明函（工程、服务）</w:t>
      </w:r>
    </w:p>
    <w:p w14:paraId="6CEFBFC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（单位名称）</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u w:val="single"/>
        </w:rPr>
        <w:t>（项目名称）</w:t>
      </w:r>
      <w:r>
        <w:rPr>
          <w:rFonts w:hint="eastAsia" w:asciiTheme="minorEastAsia" w:hAnsiTheme="minorEastAsia" w:eastAsiaTheme="minorEastAsia" w:cstheme="minorEastAsia"/>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CD20EA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u w:val="single"/>
        </w:rPr>
        <w:t>（标的名称）</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（采购文件中明确的所属行业）</w:t>
      </w:r>
      <w:r>
        <w:rPr>
          <w:rFonts w:hint="eastAsia" w:asciiTheme="minorEastAsia" w:hAnsiTheme="minorEastAsia" w:eastAsiaTheme="minorEastAsia" w:cstheme="minorEastAsia"/>
          <w:color w:val="auto"/>
          <w:highlight w:val="none"/>
        </w:rPr>
        <w:t>；承建（承接）企业为</w:t>
      </w:r>
      <w:r>
        <w:rPr>
          <w:rFonts w:hint="eastAsia" w:asciiTheme="minorEastAsia" w:hAnsiTheme="minorEastAsia" w:eastAsiaTheme="minorEastAsia" w:cstheme="minorEastAsia"/>
          <w:color w:val="auto"/>
          <w:highlight w:val="none"/>
          <w:u w:val="single"/>
        </w:rPr>
        <w:t>（企业名称）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万元¹，属于</w:t>
      </w:r>
      <w:r>
        <w:rPr>
          <w:rFonts w:hint="eastAsia" w:asciiTheme="minorEastAsia" w:hAnsiTheme="minorEastAsia" w:eastAsiaTheme="minorEastAsia" w:cstheme="minorEastAsia"/>
          <w:color w:val="auto"/>
          <w:highlight w:val="none"/>
          <w:u w:val="single"/>
        </w:rPr>
        <w:t>（中型企业、小型企业、微型企业）</w:t>
      </w:r>
      <w:r>
        <w:rPr>
          <w:rFonts w:hint="eastAsia" w:asciiTheme="minorEastAsia" w:hAnsiTheme="minorEastAsia" w:eastAsiaTheme="minorEastAsia" w:cstheme="minorEastAsia"/>
          <w:color w:val="auto"/>
          <w:highlight w:val="none"/>
        </w:rPr>
        <w:t>；</w:t>
      </w:r>
    </w:p>
    <w:p w14:paraId="13C4099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r>
        <w:rPr>
          <w:rFonts w:hint="eastAsia" w:asciiTheme="minorEastAsia" w:hAnsiTheme="minorEastAsia" w:eastAsiaTheme="minorEastAsia" w:cstheme="minorEastAsia"/>
          <w:color w:val="auto"/>
          <w:highlight w:val="none"/>
          <w:u w:val="single"/>
        </w:rPr>
        <w:t>（标的名称）</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（采购文件中明确的所属行业）</w:t>
      </w:r>
      <w:r>
        <w:rPr>
          <w:rFonts w:hint="eastAsia" w:asciiTheme="minorEastAsia" w:hAnsiTheme="minorEastAsia" w:eastAsiaTheme="minorEastAsia" w:cstheme="minorEastAsia"/>
          <w:color w:val="auto"/>
          <w:highlight w:val="none"/>
        </w:rPr>
        <w:t>；承建（承接）企业为</w:t>
      </w:r>
      <w:r>
        <w:rPr>
          <w:rFonts w:hint="eastAsia" w:asciiTheme="minorEastAsia" w:hAnsiTheme="minorEastAsia" w:eastAsiaTheme="minorEastAsia" w:cstheme="minorEastAsia"/>
          <w:color w:val="auto"/>
          <w:highlight w:val="none"/>
          <w:u w:val="single"/>
        </w:rPr>
        <w:t>（企业名称）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万元，属于</w:t>
      </w:r>
      <w:r>
        <w:rPr>
          <w:rFonts w:hint="eastAsia" w:asciiTheme="minorEastAsia" w:hAnsiTheme="minorEastAsia" w:eastAsiaTheme="minorEastAsia" w:cstheme="minorEastAsia"/>
          <w:color w:val="auto"/>
          <w:highlight w:val="none"/>
          <w:u w:val="single"/>
        </w:rPr>
        <w:t>（中型企业、小型企业、微型企业）</w:t>
      </w:r>
      <w:r>
        <w:rPr>
          <w:rFonts w:hint="eastAsia" w:asciiTheme="minorEastAsia" w:hAnsiTheme="minorEastAsia" w:eastAsiaTheme="minorEastAsia" w:cstheme="minorEastAsia"/>
          <w:color w:val="auto"/>
          <w:highlight w:val="none"/>
        </w:rPr>
        <w:t>；</w:t>
      </w:r>
    </w:p>
    <w:p w14:paraId="28A4175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1964053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以上企业，不属于大企业的分支机构，不存在控股股东为大企业的情形，也不存在与大企业的负责人为同一人的情形。</w:t>
      </w:r>
    </w:p>
    <w:p w14:paraId="5CCD248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本企业对上述声明内容的真实性负责。如有虚假，将依法承担相应责任。</w:t>
      </w:r>
    </w:p>
    <w:p w14:paraId="74CD4DE3">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231E32FE">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39DC6A9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74B233B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1、从业人员、营业收入、资产总额填报上一年度数据，无上一年度数据的新成立企业可不填报。</w:t>
      </w:r>
    </w:p>
    <w:p w14:paraId="6D8A0873">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7661D54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7422CBFC">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010ADE88">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残疾人福利性单位声明函</w:t>
      </w:r>
    </w:p>
    <w:p w14:paraId="277A61FC">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（以资格条件落实中小企业扶持政策时适用，若有）</w:t>
      </w:r>
    </w:p>
    <w:p w14:paraId="4ACE0AB9">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22D01FC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0E57B5D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）由本投标人承建的（填写“所投采购包、品目号”）工程</w:t>
      </w:r>
    </w:p>
    <w:p w14:paraId="511CAD5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）由本投标人承接的（填写“所投采购包、品目号”）服务；</w:t>
      </w:r>
    </w:p>
    <w:p w14:paraId="224BBB4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本投标人对上述声明的真实性负责。如有虚假，将依法承担相应责任。</w:t>
      </w:r>
    </w:p>
    <w:p w14:paraId="626339B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w:t>
      </w:r>
    </w:p>
    <w:p w14:paraId="3F06DD2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1、请投标人按照实际情况编制填写本声明函，并在相应的（）中打“√”。</w:t>
      </w:r>
    </w:p>
    <w:p w14:paraId="3B45085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2、若《残疾人福利性单位声明函》内容不真实，视为提供虚假材料。</w:t>
      </w:r>
    </w:p>
    <w:p w14:paraId="0A37EABB">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12F0D846">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7929998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附：</w:t>
      </w:r>
    </w:p>
    <w:p w14:paraId="45B6284D">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监狱企业证明材料</w:t>
      </w:r>
    </w:p>
    <w:p w14:paraId="05DF3D3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投标人为监狱企业，提供本单位制造的货物（承接的服务），并在电子投标文件中提供省级以上监狱管理局、戒毒管理局（含新疆生产建设兵团）出具的属于监狱企业的证明文件。</w:t>
      </w:r>
    </w:p>
    <w:p w14:paraId="2C5B74DC">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761D719E">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二-5联合体协议（若有）</w:t>
      </w:r>
    </w:p>
    <w:p w14:paraId="6415C21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w:t>
      </w:r>
      <w:r>
        <w:rPr>
          <w:rFonts w:hint="eastAsia" w:asciiTheme="minorEastAsia" w:hAnsiTheme="minorEastAsia" w:eastAsiaTheme="minorEastAsia" w:cstheme="minorEastAsia"/>
          <w:color w:val="auto"/>
          <w:highlight w:val="none"/>
          <w:u w:val="single"/>
        </w:rPr>
        <w:t>（采购人或采购代理机构）</w:t>
      </w:r>
    </w:p>
    <w:p w14:paraId="441A23F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兹有</w:t>
      </w:r>
      <w:r>
        <w:rPr>
          <w:rFonts w:hint="eastAsia" w:asciiTheme="minorEastAsia" w:hAnsiTheme="minorEastAsia" w:eastAsiaTheme="minorEastAsia" w:cstheme="minorEastAsia"/>
          <w:color w:val="auto"/>
          <w:highlight w:val="none"/>
          <w:u w:val="single"/>
        </w:rPr>
        <w:t>（填写“联合体中各方的全称”，各方的全称之间请用“、”分割）</w:t>
      </w:r>
      <w:r>
        <w:rPr>
          <w:rFonts w:hint="eastAsia" w:asciiTheme="minorEastAsia" w:hAnsiTheme="minorEastAsia" w:eastAsiaTheme="minorEastAsia" w:cstheme="minorEastAsia"/>
          <w:color w:val="auto"/>
          <w:highlight w:val="none"/>
        </w:rPr>
        <w:t>自愿组成联合体，共同参加</w:t>
      </w:r>
      <w:r>
        <w:rPr>
          <w:rFonts w:hint="eastAsia" w:asciiTheme="minorEastAsia" w:hAnsiTheme="minorEastAsia" w:eastAsiaTheme="minorEastAsia" w:cstheme="minorEastAsia"/>
          <w:color w:val="auto"/>
          <w:highlight w:val="none"/>
          <w:u w:val="single"/>
        </w:rPr>
        <w:t>（填写“项目名称”）</w:t>
      </w:r>
      <w:r>
        <w:rPr>
          <w:rFonts w:hint="eastAsia" w:asciiTheme="minorEastAsia" w:hAnsiTheme="minorEastAsia" w:eastAsiaTheme="minorEastAsia" w:cstheme="minorEastAsia"/>
          <w:color w:val="auto"/>
          <w:highlight w:val="none"/>
        </w:rPr>
        <w:t xml:space="preserve"> 项目（项目编号：</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）的投标。现就联合体参加本项目投标的有关事宜达成下列协议：</w:t>
      </w:r>
    </w:p>
    <w:p w14:paraId="5D89743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一、联合体各方应承担的工作和义务具体如下：</w:t>
      </w:r>
    </w:p>
    <w:p w14:paraId="06376D2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1、牵头方（全称）：</w:t>
      </w:r>
      <w:r>
        <w:rPr>
          <w:rFonts w:hint="eastAsia" w:asciiTheme="minorEastAsia" w:hAnsiTheme="minorEastAsia" w:eastAsiaTheme="minorEastAsia" w:cstheme="minorEastAsia"/>
          <w:color w:val="auto"/>
          <w:highlight w:val="none"/>
          <w:u w:val="single"/>
        </w:rPr>
        <w:t xml:space="preserve">（填写“工作及义务的具体内容”） </w:t>
      </w:r>
      <w:r>
        <w:rPr>
          <w:rFonts w:hint="eastAsia" w:asciiTheme="minorEastAsia" w:hAnsiTheme="minorEastAsia" w:eastAsiaTheme="minorEastAsia" w:cstheme="minorEastAsia"/>
          <w:color w:val="auto"/>
          <w:highlight w:val="none"/>
        </w:rPr>
        <w:t>；</w:t>
      </w:r>
    </w:p>
    <w:p w14:paraId="20D90C2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2、成员方：</w:t>
      </w:r>
    </w:p>
    <w:p w14:paraId="691D3189">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2.1（成员一的全称）：</w:t>
      </w:r>
      <w:r>
        <w:rPr>
          <w:rFonts w:hint="eastAsia" w:asciiTheme="minorEastAsia" w:hAnsiTheme="minorEastAsia" w:eastAsiaTheme="minorEastAsia" w:cstheme="minorEastAsia"/>
          <w:color w:val="auto"/>
          <w:highlight w:val="none"/>
          <w:u w:val="single"/>
        </w:rPr>
        <w:t>（填写“工作及义务的具体内容”）</w:t>
      </w:r>
      <w:r>
        <w:rPr>
          <w:rFonts w:hint="eastAsia" w:asciiTheme="minorEastAsia" w:hAnsiTheme="minorEastAsia" w:eastAsiaTheme="minorEastAsia" w:cstheme="minorEastAsia"/>
          <w:color w:val="auto"/>
          <w:highlight w:val="none"/>
        </w:rPr>
        <w:t xml:space="preserve"> ；</w:t>
      </w:r>
    </w:p>
    <w:p w14:paraId="57422F8A">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74FDBC5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二、联合体各方的合同金额占比，具体如下：</w:t>
      </w:r>
    </w:p>
    <w:p w14:paraId="332FA53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1.牵头方（</w:t>
      </w:r>
      <w:r>
        <w:rPr>
          <w:rFonts w:hint="eastAsia" w:asciiTheme="minorEastAsia" w:hAnsiTheme="minorEastAsia" w:eastAsiaTheme="minorEastAsia" w:cstheme="minorEastAsia"/>
          <w:color w:val="auto"/>
          <w:highlight w:val="none"/>
          <w:u w:val="single"/>
        </w:rPr>
        <w:t xml:space="preserve"> 全称</w:t>
      </w:r>
      <w:r>
        <w:rPr>
          <w:rFonts w:hint="eastAsia" w:asciiTheme="minorEastAsia" w:hAnsiTheme="minorEastAsia" w:eastAsiaTheme="minorEastAsia" w:cstheme="minorEastAsia"/>
          <w:color w:val="auto"/>
          <w:highlight w:val="none"/>
        </w:rPr>
        <w:t xml:space="preserve"> ）的合同金额占合同总额的</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w:t>
      </w:r>
    </w:p>
    <w:p w14:paraId="3000A08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2.成员方：</w:t>
      </w:r>
    </w:p>
    <w:p w14:paraId="3FA8DCC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w:t>
      </w:r>
      <w:r>
        <w:rPr>
          <w:rFonts w:hint="eastAsia" w:asciiTheme="minorEastAsia" w:hAnsiTheme="minorEastAsia" w:eastAsiaTheme="minorEastAsia" w:cstheme="minorEastAsia"/>
          <w:color w:val="auto"/>
          <w:highlight w:val="none"/>
          <w:u w:val="single"/>
        </w:rPr>
        <w:t xml:space="preserve"> 成员1的全称 </w:t>
      </w:r>
      <w:r>
        <w:rPr>
          <w:rFonts w:hint="eastAsia" w:asciiTheme="minorEastAsia" w:hAnsiTheme="minorEastAsia" w:eastAsiaTheme="minorEastAsia" w:cstheme="minorEastAsia"/>
          <w:color w:val="auto"/>
          <w:highlight w:val="none"/>
        </w:rPr>
        <w:t>）的合同金额占合同总额的</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w:t>
      </w:r>
    </w:p>
    <w:p w14:paraId="3E164CA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640A00B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三、联合体各方约定：</w:t>
      </w:r>
    </w:p>
    <w:p w14:paraId="6E6F72A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1、由</w:t>
      </w:r>
      <w:r>
        <w:rPr>
          <w:rFonts w:hint="eastAsia" w:asciiTheme="minorEastAsia" w:hAnsiTheme="minorEastAsia" w:eastAsiaTheme="minorEastAsia" w:cstheme="minorEastAsia"/>
          <w:color w:val="auto"/>
          <w:highlight w:val="none"/>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14:paraId="7CEB85C3">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2、联合体各方约定由</w:t>
      </w:r>
      <w:r>
        <w:rPr>
          <w:rFonts w:hint="eastAsia" w:asciiTheme="minorEastAsia" w:hAnsiTheme="minorEastAsia" w:eastAsiaTheme="minorEastAsia" w:cstheme="minorEastAsia"/>
          <w:color w:val="auto"/>
          <w:highlight w:val="none"/>
          <w:u w:val="single"/>
        </w:rPr>
        <w:t>（填写“牵头方的全称”）代表联合体办理投标保证金事宜。</w:t>
      </w:r>
    </w:p>
    <w:p w14:paraId="161A76E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14:paraId="0C08F8D9">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四、若中标，牵头方将代表联合体与采购人就合同签订事宜进行协商；若协商一致，则联合体各方将共同与采购人签订政府采购合同，并就政府采购合同约定的事项对采购人承担连带责任。</w:t>
      </w:r>
    </w:p>
    <w:p w14:paraId="403E44A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五、本协议自签署之日起生效，政府采购合同履行完毕后自动失效。</w:t>
      </w:r>
    </w:p>
    <w:p w14:paraId="2390FFEA">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六、本协议一式</w:t>
      </w:r>
      <w:r>
        <w:rPr>
          <w:rFonts w:hint="eastAsia" w:asciiTheme="minorEastAsia" w:hAnsiTheme="minorEastAsia" w:eastAsiaTheme="minorEastAsia" w:cstheme="minorEastAsia"/>
          <w:color w:val="auto"/>
          <w:highlight w:val="none"/>
          <w:u w:val="single"/>
        </w:rPr>
        <w:t>（填写具体份数）</w:t>
      </w:r>
      <w:r>
        <w:rPr>
          <w:rFonts w:hint="eastAsia" w:asciiTheme="minorEastAsia" w:hAnsiTheme="minorEastAsia" w:eastAsiaTheme="minorEastAsia" w:cstheme="minorEastAsia"/>
          <w:color w:val="auto"/>
          <w:highlight w:val="none"/>
        </w:rPr>
        <w:t>份，联合体各方各执一份，电子投标文件中提交一份。</w:t>
      </w:r>
    </w:p>
    <w:p w14:paraId="6474C1F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（以下无正文）</w:t>
      </w:r>
    </w:p>
    <w:p w14:paraId="45113E3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牵头方：</w:t>
      </w:r>
      <w:r>
        <w:rPr>
          <w:rFonts w:hint="eastAsia" w:asciiTheme="minorEastAsia" w:hAnsiTheme="minorEastAsia" w:eastAsiaTheme="minorEastAsia" w:cstheme="minorEastAsia"/>
          <w:color w:val="auto"/>
          <w:highlight w:val="none"/>
          <w:u w:val="single"/>
        </w:rPr>
        <w:t>（全称并加盖单位公章）</w:t>
      </w:r>
    </w:p>
    <w:p w14:paraId="54C5D553">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法定代表人或其委托代理人：</w:t>
      </w:r>
      <w:r>
        <w:rPr>
          <w:rFonts w:hint="eastAsia" w:asciiTheme="minorEastAsia" w:hAnsiTheme="minorEastAsia" w:eastAsiaTheme="minorEastAsia" w:cstheme="minorEastAsia"/>
          <w:color w:val="auto"/>
          <w:highlight w:val="none"/>
          <w:u w:val="single"/>
        </w:rPr>
        <w:t xml:space="preserve"> （签字或盖章）</w:t>
      </w:r>
    </w:p>
    <w:p w14:paraId="145D40F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成员一：</w:t>
      </w:r>
      <w:r>
        <w:rPr>
          <w:rFonts w:hint="eastAsia" w:asciiTheme="minorEastAsia" w:hAnsiTheme="minorEastAsia" w:eastAsiaTheme="minorEastAsia" w:cstheme="minorEastAsia"/>
          <w:color w:val="auto"/>
          <w:highlight w:val="none"/>
          <w:u w:val="single"/>
        </w:rPr>
        <w:t>（全称并加盖成员一的单位公章）</w:t>
      </w:r>
    </w:p>
    <w:p w14:paraId="44D9F64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法定代表人或其委托代理人：</w:t>
      </w:r>
      <w:r>
        <w:rPr>
          <w:rFonts w:hint="eastAsia" w:asciiTheme="minorEastAsia" w:hAnsiTheme="minorEastAsia" w:eastAsiaTheme="minorEastAsia" w:cstheme="minorEastAsia"/>
          <w:color w:val="auto"/>
          <w:highlight w:val="none"/>
          <w:u w:val="single"/>
        </w:rPr>
        <w:t xml:space="preserve"> （签字或盖章）</w:t>
      </w:r>
    </w:p>
    <w:p w14:paraId="5B4559B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336116D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成员**：</w:t>
      </w:r>
      <w:r>
        <w:rPr>
          <w:rFonts w:hint="eastAsia" w:asciiTheme="minorEastAsia" w:hAnsiTheme="minorEastAsia" w:eastAsiaTheme="minorEastAsia" w:cstheme="minorEastAsia"/>
          <w:color w:val="auto"/>
          <w:highlight w:val="none"/>
          <w:u w:val="single"/>
        </w:rPr>
        <w:t>（全称并加盖成员**的单位公章）</w:t>
      </w:r>
    </w:p>
    <w:p w14:paraId="70F455F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法定代表人或其委托代理人：</w:t>
      </w:r>
      <w:r>
        <w:rPr>
          <w:rFonts w:hint="eastAsia" w:asciiTheme="minorEastAsia" w:hAnsiTheme="minorEastAsia" w:eastAsiaTheme="minorEastAsia" w:cstheme="minorEastAsia"/>
          <w:color w:val="auto"/>
          <w:highlight w:val="none"/>
          <w:u w:val="single"/>
        </w:rPr>
        <w:t xml:space="preserve"> （签字或盖章）</w:t>
      </w:r>
    </w:p>
    <w:p w14:paraId="69AB3D10">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签署日期：</w:t>
      </w:r>
      <w:r>
        <w:rPr>
          <w:rFonts w:hint="eastAsia" w:asciiTheme="minorEastAsia" w:hAnsiTheme="minorEastAsia" w:eastAsiaTheme="minorEastAsia" w:cstheme="minorEastAsia"/>
          <w:color w:val="auto"/>
          <w:highlight w:val="none"/>
          <w:u w:val="single"/>
        </w:rPr>
        <w:t>　　年　　月　　日</w:t>
      </w:r>
    </w:p>
    <w:p w14:paraId="2A821F5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203863B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1、招标文件接受联合体投标且投标人为联合体的，投标人应提供本协议；否则无须提供。</w:t>
      </w:r>
    </w:p>
    <w:p w14:paraId="37F88DA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2、本协议由委托代理人签字或盖章的，应按照本章载明的格式提供“单位授权书”。</w:t>
      </w:r>
    </w:p>
    <w:p w14:paraId="426FF78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3、在以联合体形式落实中小企业预留份额项目中，投标人除了要提供《中小企业声明函》，还需提供本协议。</w:t>
      </w:r>
    </w:p>
    <w:p w14:paraId="1AA88875">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7E50A6A3">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二-6分包意向协议（若有）</w:t>
      </w:r>
    </w:p>
    <w:p w14:paraId="4DDFCA4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甲方（总包方）：</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（即本项目的投标人）</w:t>
      </w:r>
    </w:p>
    <w:p w14:paraId="6444699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乙方（分包方）：</w:t>
      </w:r>
      <w:r>
        <w:rPr>
          <w:rFonts w:hint="eastAsia" w:asciiTheme="minorEastAsia" w:hAnsiTheme="minorEastAsia" w:eastAsiaTheme="minorEastAsia" w:cstheme="minorEastAsia"/>
          <w:color w:val="auto"/>
          <w:highlight w:val="none"/>
          <w:u w:val="single"/>
        </w:rPr>
        <w:t>　　　　　　　</w:t>
      </w:r>
    </w:p>
    <w:p w14:paraId="16FA1E19">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兹有甲方参加</w:t>
      </w:r>
      <w:r>
        <w:rPr>
          <w:rFonts w:hint="eastAsia" w:asciiTheme="minorEastAsia" w:hAnsiTheme="minorEastAsia" w:eastAsiaTheme="minorEastAsia" w:cstheme="minorEastAsia"/>
          <w:color w:val="auto"/>
          <w:highlight w:val="none"/>
          <w:u w:val="single"/>
        </w:rPr>
        <w:t>（填写“项目名称”）</w:t>
      </w:r>
      <w:r>
        <w:rPr>
          <w:rFonts w:hint="eastAsia" w:asciiTheme="minorEastAsia" w:hAnsiTheme="minorEastAsia" w:eastAsiaTheme="minorEastAsia" w:cstheme="minorEastAsia"/>
          <w:color w:val="auto"/>
          <w:highlight w:val="none"/>
        </w:rPr>
        <w:t xml:space="preserve"> 项目（项目编号：</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）的政府采购活动。甲方期望将采购项目的部分采购标的分包给乙方完成，而乙方保证能够向甲方提供本协议项下的采购标的，甲、乙双方就合同分包的有关事宜达成下列协议：</w:t>
      </w:r>
    </w:p>
    <w:p w14:paraId="06E8182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一、分包标的</w:t>
      </w:r>
    </w:p>
    <w:p w14:paraId="66936E59">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（根据双方的意向填写，可以是表格或文字描述）。</w:t>
      </w:r>
    </w:p>
    <w:p w14:paraId="0F28059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二、分包合同金额占比</w:t>
      </w:r>
    </w:p>
    <w:p w14:paraId="5BCD241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分包合同价占投标总价的比例：</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w:t>
      </w:r>
    </w:p>
    <w:p w14:paraId="3EF52B1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三、其他条款</w:t>
      </w:r>
    </w:p>
    <w:p w14:paraId="61CB768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1DC90D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7943D3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甲方：</w:t>
            </w:r>
          </w:p>
        </w:tc>
        <w:tc>
          <w:tcPr>
            <w:tcW w:w="4153" w:type="dxa"/>
          </w:tcPr>
          <w:p w14:paraId="45B90CE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乙方：</w:t>
            </w:r>
          </w:p>
        </w:tc>
      </w:tr>
      <w:tr w14:paraId="10167E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7DBEE0D">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住所：</w:t>
            </w:r>
          </w:p>
        </w:tc>
        <w:tc>
          <w:tcPr>
            <w:tcW w:w="4153" w:type="dxa"/>
          </w:tcPr>
          <w:p w14:paraId="071A39D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住所：</w:t>
            </w:r>
          </w:p>
        </w:tc>
      </w:tr>
      <w:tr w14:paraId="5A3D58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921BCC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单位负责人或委托代理人：</w:t>
            </w:r>
          </w:p>
        </w:tc>
        <w:tc>
          <w:tcPr>
            <w:tcW w:w="4153" w:type="dxa"/>
          </w:tcPr>
          <w:p w14:paraId="6AFAA079">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单位负责人或委托代理人：</w:t>
            </w:r>
          </w:p>
        </w:tc>
      </w:tr>
      <w:tr w14:paraId="436EE9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1188CB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联系方法：</w:t>
            </w:r>
          </w:p>
        </w:tc>
        <w:tc>
          <w:tcPr>
            <w:tcW w:w="4153" w:type="dxa"/>
          </w:tcPr>
          <w:p w14:paraId="63D57C1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联系方法：</w:t>
            </w:r>
          </w:p>
        </w:tc>
      </w:tr>
      <w:tr w14:paraId="0EEEA4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EA2942D">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开户银行：</w:t>
            </w:r>
          </w:p>
        </w:tc>
        <w:tc>
          <w:tcPr>
            <w:tcW w:w="4153" w:type="dxa"/>
          </w:tcPr>
          <w:p w14:paraId="2CAF5A5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开户银行：</w:t>
            </w:r>
          </w:p>
        </w:tc>
      </w:tr>
      <w:tr w14:paraId="5926F4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D5998C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账号：</w:t>
            </w:r>
          </w:p>
        </w:tc>
        <w:tc>
          <w:tcPr>
            <w:tcW w:w="4153" w:type="dxa"/>
          </w:tcPr>
          <w:p w14:paraId="7897B06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账号：</w:t>
            </w:r>
          </w:p>
        </w:tc>
      </w:tr>
      <w:tr w14:paraId="1A189E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392E29B1">
            <w:pPr>
              <w:pStyle w:val="8"/>
              <w:ind w:firstLine="96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签订地点：</w:t>
            </w:r>
            <w:r>
              <w:rPr>
                <w:rFonts w:hint="eastAsia" w:asciiTheme="minorEastAsia" w:hAnsiTheme="minorEastAsia" w:eastAsiaTheme="minorEastAsia" w:cstheme="minorEastAsia"/>
                <w:color w:val="auto"/>
                <w:highlight w:val="none"/>
                <w:u w:val="single"/>
              </w:rPr>
              <w:t>　　　　　　　　　　</w:t>
            </w:r>
          </w:p>
          <w:p w14:paraId="0A375D7C">
            <w:pPr>
              <w:pStyle w:val="8"/>
              <w:ind w:firstLine="96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签约日期：</w:t>
            </w:r>
            <w:r>
              <w:rPr>
                <w:rFonts w:hint="eastAsia" w:asciiTheme="minorEastAsia" w:hAnsiTheme="minorEastAsia" w:eastAsiaTheme="minorEastAsia" w:cstheme="minorEastAsia"/>
                <w:color w:val="auto"/>
                <w:highlight w:val="none"/>
                <w:u w:val="single"/>
              </w:rPr>
              <w:t>　　年　　月　　日</w:t>
            </w:r>
          </w:p>
        </w:tc>
      </w:tr>
    </w:tbl>
    <w:p w14:paraId="54560F7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03900B5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1.招标文件接受合同分包且投标人拟将合同分包的，应提供本协议；否则无须提供。</w:t>
      </w:r>
    </w:p>
    <w:p w14:paraId="7C1016A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2.本协议由委托代理人签字或盖章的，应按照本章载明的格式提供“单位授权书”。</w:t>
      </w:r>
    </w:p>
    <w:p w14:paraId="6278B42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3.在以合同分包形式落实中小企业预留份额项目中，投标人除了要提供《中小企业声明函》，还需提供本协议。</w:t>
      </w:r>
    </w:p>
    <w:p w14:paraId="13C5E97B">
      <w:pPr>
        <w:pStyle w:val="8"/>
        <w:ind w:firstLine="9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52693A60">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二-7其他资格证明文件（若有）</w:t>
      </w:r>
    </w:p>
    <w:p w14:paraId="0D836838">
      <w:pPr>
        <w:pStyle w:val="8"/>
        <w:ind w:firstLine="960"/>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二-7-①招标文件规定的其他资格证明文件（若有）</w:t>
      </w:r>
    </w:p>
    <w:p w14:paraId="74D7EA3E">
      <w:pPr>
        <w:pStyle w:val="8"/>
        <w:ind w:firstLine="48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编制说明</w:t>
      </w:r>
    </w:p>
    <w:p w14:paraId="0010C8C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除招标文件另有规定外，招标文件要求提交的除前述资格证明文件外的其他资格证明文件（若有）加盖投标人的单位公章后应在此项下提交。</w:t>
      </w:r>
    </w:p>
    <w:p w14:paraId="2802F755">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4DF0E529">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三、投标保证金</w:t>
      </w:r>
    </w:p>
    <w:p w14:paraId="157576B4">
      <w:pPr>
        <w:pStyle w:val="8"/>
        <w:ind w:firstLine="48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编制说明</w:t>
      </w:r>
    </w:p>
    <w:p w14:paraId="768BF2A3">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1、在此项下提交的“投标保证金”材料可使用转账凭证复印件或从福建省政府采购网上公开信息系统中下载的有关原始页面的打印件。</w:t>
      </w:r>
    </w:p>
    <w:p w14:paraId="78A74C0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2、投标保证金是否已提交的认定按照招标文件第三章规定执行。</w:t>
      </w:r>
    </w:p>
    <w:p w14:paraId="46C442EC">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23E0CACF">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封面格式(报价部分)</w:t>
      </w:r>
    </w:p>
    <w:p w14:paraId="1216F4C2">
      <w:pPr>
        <w:pStyle w:val="8"/>
        <w:jc w:val="center"/>
        <w:outlineLvl w:val="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8"/>
          <w:highlight w:val="none"/>
        </w:rPr>
        <w:t>福建省政府采购投标文件</w:t>
      </w:r>
    </w:p>
    <w:p w14:paraId="09CC819F">
      <w:pPr>
        <w:pStyle w:val="8"/>
        <w:jc w:val="center"/>
        <w:outlineLvl w:val="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8"/>
          <w:highlight w:val="none"/>
        </w:rPr>
        <w:t>（报价部分）</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textWrapping"/>
      </w:r>
    </w:p>
    <w:p w14:paraId="78CF2E2C">
      <w:pPr>
        <w:pStyle w:val="8"/>
        <w:jc w:val="center"/>
        <w:outlineLvl w:val="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highlight w:val="none"/>
        </w:rPr>
        <w:t>（填写正本或副本）</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textWrapping"/>
      </w:r>
    </w:p>
    <w:p w14:paraId="731F8969">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项目名称：（由投标人填写）</w:t>
      </w:r>
    </w:p>
    <w:p w14:paraId="3D373BBD">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备案编号：（由投标人填写）</w:t>
      </w:r>
    </w:p>
    <w:p w14:paraId="1665A697">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项目编号：（由投标人填写）</w:t>
      </w:r>
    </w:p>
    <w:p w14:paraId="7AEF0EB6">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所投采购包：（由投标人填写）</w:t>
      </w:r>
    </w:p>
    <w:p w14:paraId="09D076E8">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投标人：（填写“全称”）</w:t>
      </w:r>
    </w:p>
    <w:p w14:paraId="7D59C074">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（由投标人填写）年（由投标人填写）月</w:t>
      </w:r>
    </w:p>
    <w:p w14:paraId="664FED95">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02EA8C5D">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索引</w:t>
      </w:r>
    </w:p>
    <w:p w14:paraId="02E62DE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一、开标（报价）一览表</w:t>
      </w:r>
    </w:p>
    <w:p w14:paraId="43E7D619">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二、投标（响应）报价明细表</w:t>
      </w:r>
    </w:p>
    <w:p w14:paraId="3BC5CC2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三、招标文件规定的价格扣除证明材料（若有）</w:t>
      </w:r>
    </w:p>
    <w:p w14:paraId="06F752E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38D6853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14:paraId="5B84A257">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三、招标文件规定的价格扣除证明材料（若有）</w:t>
      </w:r>
    </w:p>
    <w:p w14:paraId="5B9C647E">
      <w:pPr>
        <w:pStyle w:val="8"/>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三-1优先类节能产品、环境标志产品价格扣除证明材料（若有）</w:t>
      </w:r>
    </w:p>
    <w:p w14:paraId="09048EAF">
      <w:pPr>
        <w:pStyle w:val="8"/>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三-1-①优先类节能产品、环境标志产品统计表（价格扣除适用，若有）</w:t>
      </w:r>
    </w:p>
    <w:p w14:paraId="39BD8DB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项目编号：</w:t>
      </w:r>
      <w:r>
        <w:rPr>
          <w:rFonts w:hint="eastAsia" w:asciiTheme="minorEastAsia" w:hAnsiTheme="minorEastAsia" w:eastAsiaTheme="minorEastAsia" w:cstheme="minorEastAsia"/>
          <w:color w:val="auto"/>
          <w:highlight w:val="none"/>
          <w:u w:val="single"/>
        </w:rPr>
        <w:t>　　　　　　　　</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4748"/>
      </w:tblGrid>
      <w:tr w14:paraId="256B97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E66D7AD">
            <w:pPr>
              <w:rPr>
                <w:rFonts w:hint="eastAsia" w:asciiTheme="minorEastAsia" w:hAnsiTheme="minorEastAsia" w:eastAsiaTheme="minorEastAsia" w:cstheme="minorEastAsia"/>
                <w:color w:val="auto"/>
                <w:highlight w:val="none"/>
              </w:rPr>
            </w:pPr>
          </w:p>
        </w:tc>
        <w:tc>
          <w:tcPr>
            <w:tcW w:w="7122" w:type="dxa"/>
            <w:gridSpan w:val="3"/>
          </w:tcPr>
          <w:p w14:paraId="657A2D4C">
            <w:pPr>
              <w:pStyle w:val="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本采购包内属于节能、环境标志产品情况</w:t>
            </w:r>
          </w:p>
        </w:tc>
      </w:tr>
      <w:tr w14:paraId="113B2C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After w:w="0" w:type="auto"/>
        </w:trPr>
        <w:tc>
          <w:tcPr>
            <w:tcW w:w="1187" w:type="dxa"/>
          </w:tcPr>
          <w:p w14:paraId="547AAAB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w:t>
            </w:r>
          </w:p>
        </w:tc>
        <w:tc>
          <w:tcPr>
            <w:tcW w:w="1187" w:type="dxa"/>
          </w:tcPr>
          <w:p w14:paraId="732B309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品目号</w:t>
            </w:r>
          </w:p>
        </w:tc>
        <w:tc>
          <w:tcPr>
            <w:tcW w:w="1187" w:type="dxa"/>
          </w:tcPr>
          <w:p w14:paraId="3378786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产品名称</w:t>
            </w:r>
          </w:p>
        </w:tc>
        <w:tc>
          <w:tcPr>
            <w:tcW w:w="4748" w:type="dxa"/>
          </w:tcPr>
          <w:p w14:paraId="1C88D61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认证种类</w:t>
            </w:r>
          </w:p>
        </w:tc>
      </w:tr>
      <w:tr w14:paraId="2C2C75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After w:w="0" w:type="auto"/>
        </w:trPr>
        <w:tc>
          <w:tcPr>
            <w:tcW w:w="1187" w:type="dxa"/>
            <w:vMerge w:val="restart"/>
          </w:tcPr>
          <w:p w14:paraId="6B39008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187" w:type="dxa"/>
          </w:tcPr>
          <w:p w14:paraId="7E6DFEB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187" w:type="dxa"/>
          </w:tcPr>
          <w:p w14:paraId="69BDE6F4">
            <w:pPr>
              <w:rPr>
                <w:rFonts w:hint="eastAsia" w:asciiTheme="minorEastAsia" w:hAnsiTheme="minorEastAsia" w:eastAsiaTheme="minorEastAsia" w:cstheme="minorEastAsia"/>
                <w:color w:val="auto"/>
                <w:highlight w:val="none"/>
              </w:rPr>
            </w:pPr>
          </w:p>
        </w:tc>
        <w:tc>
          <w:tcPr>
            <w:tcW w:w="4748" w:type="dxa"/>
          </w:tcPr>
          <w:p w14:paraId="047E86D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供应商自行填写种类，并上传证明附件以便评审查看</w:t>
            </w:r>
          </w:p>
        </w:tc>
      </w:tr>
      <w:tr w14:paraId="6CF4ED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After w:w="0" w:type="auto"/>
        </w:trPr>
        <w:tc>
          <w:tcPr>
            <w:tcW w:w="1187" w:type="dxa"/>
            <w:vMerge w:val="continue"/>
          </w:tcPr>
          <w:p w14:paraId="743E6E09">
            <w:pPr>
              <w:rPr>
                <w:rFonts w:hint="eastAsia" w:asciiTheme="minorEastAsia" w:hAnsiTheme="minorEastAsia" w:eastAsiaTheme="minorEastAsia" w:cstheme="minorEastAsia"/>
                <w:color w:val="auto"/>
                <w:highlight w:val="none"/>
              </w:rPr>
            </w:pPr>
          </w:p>
        </w:tc>
        <w:tc>
          <w:tcPr>
            <w:tcW w:w="1187" w:type="dxa"/>
          </w:tcPr>
          <w:p w14:paraId="1CFD298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4B7566B9">
            <w:pPr>
              <w:pStyle w:val="8"/>
              <w:jc w:val="left"/>
              <w:rPr>
                <w:rFonts w:hint="eastAsia" w:asciiTheme="minorEastAsia" w:hAnsiTheme="minorEastAsia" w:eastAsiaTheme="minorEastAsia" w:cstheme="minorEastAsia"/>
                <w:color w:val="auto"/>
                <w:highlight w:val="none"/>
              </w:rPr>
            </w:pPr>
          </w:p>
        </w:tc>
        <w:tc>
          <w:tcPr>
            <w:tcW w:w="1187" w:type="dxa"/>
          </w:tcPr>
          <w:p w14:paraId="177E1C7F">
            <w:pPr>
              <w:rPr>
                <w:rFonts w:hint="eastAsia" w:asciiTheme="minorEastAsia" w:hAnsiTheme="minorEastAsia" w:eastAsiaTheme="minorEastAsia" w:cstheme="minorEastAsia"/>
                <w:color w:val="auto"/>
                <w:highlight w:val="none"/>
              </w:rPr>
            </w:pPr>
          </w:p>
        </w:tc>
        <w:tc>
          <w:tcPr>
            <w:tcW w:w="4748" w:type="dxa"/>
          </w:tcPr>
          <w:p w14:paraId="451FB3F8">
            <w:pPr>
              <w:rPr>
                <w:rFonts w:hint="eastAsia" w:asciiTheme="minorEastAsia" w:hAnsiTheme="minorEastAsia" w:eastAsiaTheme="minorEastAsia" w:cstheme="minorEastAsia"/>
                <w:color w:val="auto"/>
                <w:highlight w:val="none"/>
              </w:rPr>
            </w:pPr>
          </w:p>
        </w:tc>
      </w:tr>
      <w:tr w14:paraId="2E705D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After w:w="0" w:type="auto"/>
        </w:trPr>
        <w:tc>
          <w:tcPr>
            <w:tcW w:w="1187" w:type="dxa"/>
          </w:tcPr>
          <w:p w14:paraId="1BAAF7D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w:t>
            </w:r>
          </w:p>
        </w:tc>
        <w:tc>
          <w:tcPr>
            <w:tcW w:w="7122" w:type="dxa"/>
            <w:gridSpan w:val="3"/>
          </w:tcPr>
          <w:p w14:paraId="1D6FD1CD">
            <w:pPr>
              <w:pStyle w:val="8"/>
              <w:jc w:val="left"/>
              <w:rPr>
                <w:rFonts w:hint="eastAsia" w:asciiTheme="minorEastAsia" w:hAnsiTheme="minorEastAsia" w:eastAsiaTheme="minorEastAsia" w:cstheme="minorEastAsia"/>
                <w:color w:val="auto"/>
                <w:highlight w:val="none"/>
              </w:rPr>
            </w:pPr>
          </w:p>
        </w:tc>
      </w:tr>
    </w:tbl>
    <w:p w14:paraId="04CA7F84">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50569A8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1、对节能、环境标志产品计算价格扣除时，只依据电子投标（响应）文件“投标（响应）报价明细表”以及“优先类节能产品、环境标志产品证明材料（价格扣除适用，若有）。</w:t>
      </w:r>
    </w:p>
    <w:p w14:paraId="537A876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2、本表以采购包为单位，不同采购包请分别填写；同一采购包请按照其品目号顺序分别填写。</w:t>
      </w:r>
    </w:p>
    <w:p w14:paraId="455617E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3、具体统计、计算：</w:t>
      </w:r>
    </w:p>
    <w:p w14:paraId="6858290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3.1若同一采购包内的单个或多个货物取得或同时取得节能、环境标志产品等两项或多项认证的，均按照单个货物对应一项认证的原则统计、计算1次。</w:t>
      </w:r>
    </w:p>
    <w:p w14:paraId="5D428F4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3.2计算结果若除不尽，可四舍五入保留到小数点后两位。</w:t>
      </w:r>
    </w:p>
    <w:p w14:paraId="1D5C71B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3.3投标人(供应商)按照采购文件要求认真统计、计算。</w:t>
      </w:r>
    </w:p>
    <w:p w14:paraId="66838B6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3.4若无节能、环境标志产品，不填写本表。</w:t>
      </w:r>
    </w:p>
    <w:p w14:paraId="4454C7B3">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3.5强制类节能产品不享受价格扣除。</w:t>
      </w:r>
    </w:p>
    <w:p w14:paraId="73C3D6A8">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4B04BDF5">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659DFD3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2AD82A88">
      <w:pPr>
        <w:pStyle w:val="8"/>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三-1-②优先类节能产品、环境标志产品证明材料（价格扣除适用，若有）</w:t>
      </w:r>
    </w:p>
    <w:p w14:paraId="0F00560D">
      <w:pPr>
        <w:pStyle w:val="8"/>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三-2小型、微型企业产品等价格扣除证明材料（若有）</w:t>
      </w:r>
    </w:p>
    <w:p w14:paraId="78519FF1">
      <w:pPr>
        <w:pStyle w:val="8"/>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三-2-①中小企业声明函（价格扣除适用，若有）</w:t>
      </w:r>
    </w:p>
    <w:p w14:paraId="3B436F32">
      <w:pPr>
        <w:pStyle w:val="8"/>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中小企业声明函（货物）</w:t>
      </w:r>
    </w:p>
    <w:p w14:paraId="2966F3B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（单位名称）</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u w:val="single"/>
        </w:rPr>
        <w:t>（项目名称）</w:t>
      </w:r>
      <w:r>
        <w:rPr>
          <w:rFonts w:hint="eastAsia" w:asciiTheme="minorEastAsia" w:hAnsiTheme="minorEastAsia" w:eastAsiaTheme="minorEastAsia" w:cstheme="minorEastAsia"/>
          <w:color w:val="auto"/>
          <w:highlight w:val="none"/>
        </w:rPr>
        <w:t>采购活动，提供的货物全部由符合政策要求的中小企业制造。相关企业（含联合体中的中小企业、签订分包意向协议的中小企业）的具体情况如下：</w:t>
      </w:r>
    </w:p>
    <w:p w14:paraId="2707C36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u w:val="single"/>
        </w:rPr>
        <w:t xml:space="preserve"> （标的名称） </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（采购文件中明确的所属行业）</w:t>
      </w:r>
      <w:r>
        <w:rPr>
          <w:rFonts w:hint="eastAsia" w:asciiTheme="minorEastAsia" w:hAnsiTheme="minorEastAsia" w:eastAsiaTheme="minorEastAsia" w:cstheme="minorEastAsia"/>
          <w:color w:val="auto"/>
          <w:highlight w:val="none"/>
        </w:rPr>
        <w:t>行业；制造商为</w:t>
      </w:r>
      <w:r>
        <w:rPr>
          <w:rFonts w:hint="eastAsia" w:asciiTheme="minorEastAsia" w:hAnsiTheme="minorEastAsia" w:eastAsiaTheme="minorEastAsia" w:cstheme="minorEastAsia"/>
          <w:color w:val="auto"/>
          <w:highlight w:val="none"/>
          <w:u w:val="single"/>
        </w:rPr>
        <w:t>（企业名称）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万元</w:t>
      </w:r>
      <w:r>
        <w:rPr>
          <w:rFonts w:hint="eastAsia" w:asciiTheme="minorEastAsia" w:hAnsiTheme="minorEastAsia" w:eastAsiaTheme="minorEastAsia" w:cstheme="minorEastAsia"/>
          <w:color w:val="auto"/>
          <w:sz w:val="21"/>
          <w:highlight w:val="none"/>
          <w:vertAlign w:val="superscript"/>
        </w:rPr>
        <w:t>1</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（中型企业、小型企业、微型企业）</w:t>
      </w:r>
      <w:r>
        <w:rPr>
          <w:rFonts w:hint="eastAsia" w:asciiTheme="minorEastAsia" w:hAnsiTheme="minorEastAsia" w:eastAsiaTheme="minorEastAsia" w:cstheme="minorEastAsia"/>
          <w:color w:val="auto"/>
          <w:highlight w:val="none"/>
        </w:rPr>
        <w:t>；</w:t>
      </w:r>
    </w:p>
    <w:p w14:paraId="5158B3E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r>
        <w:rPr>
          <w:rFonts w:hint="eastAsia" w:asciiTheme="minorEastAsia" w:hAnsiTheme="minorEastAsia" w:eastAsiaTheme="minorEastAsia" w:cstheme="minorEastAsia"/>
          <w:color w:val="auto"/>
          <w:highlight w:val="none"/>
          <w:u w:val="single"/>
        </w:rPr>
        <w:t xml:space="preserve"> （标的名称） </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（采购文件中明确的所属行业）</w:t>
      </w:r>
      <w:r>
        <w:rPr>
          <w:rFonts w:hint="eastAsia" w:asciiTheme="minorEastAsia" w:hAnsiTheme="minorEastAsia" w:eastAsiaTheme="minorEastAsia" w:cstheme="minorEastAsia"/>
          <w:color w:val="auto"/>
          <w:highlight w:val="none"/>
        </w:rPr>
        <w:t>行业；制造商为</w:t>
      </w:r>
      <w:r>
        <w:rPr>
          <w:rFonts w:hint="eastAsia" w:asciiTheme="minorEastAsia" w:hAnsiTheme="minorEastAsia" w:eastAsiaTheme="minorEastAsia" w:cstheme="minorEastAsia"/>
          <w:color w:val="auto"/>
          <w:highlight w:val="none"/>
          <w:u w:val="single"/>
        </w:rPr>
        <w:t>（企业名称）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万元，属于</w:t>
      </w:r>
      <w:r>
        <w:rPr>
          <w:rFonts w:hint="eastAsia" w:asciiTheme="minorEastAsia" w:hAnsiTheme="minorEastAsia" w:eastAsiaTheme="minorEastAsia" w:cstheme="minorEastAsia"/>
          <w:color w:val="auto"/>
          <w:highlight w:val="none"/>
          <w:u w:val="single"/>
        </w:rPr>
        <w:t>（中型企业、小型企业、微型企业）</w:t>
      </w:r>
      <w:r>
        <w:rPr>
          <w:rFonts w:hint="eastAsia" w:asciiTheme="minorEastAsia" w:hAnsiTheme="minorEastAsia" w:eastAsiaTheme="minorEastAsia" w:cstheme="minorEastAsia"/>
          <w:color w:val="auto"/>
          <w:highlight w:val="none"/>
        </w:rPr>
        <w:t>；</w:t>
      </w:r>
    </w:p>
    <w:p w14:paraId="1886862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07CFB42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以上企业，不属于大企业的分支机构，不存在控股股东为大企业的情形，也不存在与大企业的负责人为同一人的情形。</w:t>
      </w:r>
    </w:p>
    <w:p w14:paraId="7C2E3CD3">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本企业对上述声明内容的真实性负责。如有虚假，将依法承担相应责任。</w:t>
      </w:r>
    </w:p>
    <w:p w14:paraId="2BC3A975">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72833D78">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4655FC1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68ECA87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1、从业人员、营业收入、资产总额填报上一年度数据，无上一年度数据的新成立企业可不填报。</w:t>
      </w:r>
    </w:p>
    <w:p w14:paraId="6D1B3EC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673BDC2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1AE9E20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67446217">
      <w:pPr>
        <w:pStyle w:val="8"/>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中小企业声明函（工程、服务）</w:t>
      </w:r>
    </w:p>
    <w:p w14:paraId="680398C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（单位名称）</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u w:val="single"/>
        </w:rPr>
        <w:t>（项目名称）</w:t>
      </w:r>
      <w:r>
        <w:rPr>
          <w:rFonts w:hint="eastAsia" w:asciiTheme="minorEastAsia" w:hAnsiTheme="minorEastAsia" w:eastAsiaTheme="minorEastAsia" w:cstheme="minorEastAsia"/>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878688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u w:val="single"/>
        </w:rPr>
        <w:t>（标的名称）</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（采购文件中明确的所属行业）</w:t>
      </w:r>
      <w:r>
        <w:rPr>
          <w:rFonts w:hint="eastAsia" w:asciiTheme="minorEastAsia" w:hAnsiTheme="minorEastAsia" w:eastAsiaTheme="minorEastAsia" w:cstheme="minorEastAsia"/>
          <w:color w:val="auto"/>
          <w:highlight w:val="none"/>
        </w:rPr>
        <w:t>；承建（承接）企业为</w:t>
      </w:r>
      <w:r>
        <w:rPr>
          <w:rFonts w:hint="eastAsia" w:asciiTheme="minorEastAsia" w:hAnsiTheme="minorEastAsia" w:eastAsiaTheme="minorEastAsia" w:cstheme="minorEastAsia"/>
          <w:color w:val="auto"/>
          <w:highlight w:val="none"/>
          <w:u w:val="single"/>
        </w:rPr>
        <w:t>（企业名称）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万元</w:t>
      </w:r>
      <w:r>
        <w:rPr>
          <w:rFonts w:hint="eastAsia" w:asciiTheme="minorEastAsia" w:hAnsiTheme="minorEastAsia" w:eastAsiaTheme="minorEastAsia" w:cstheme="minorEastAsia"/>
          <w:color w:val="auto"/>
          <w:sz w:val="21"/>
          <w:highlight w:val="none"/>
          <w:vertAlign w:val="superscript"/>
        </w:rPr>
        <w:t>1</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（中型企业、小型企业、微型企业）</w:t>
      </w:r>
      <w:r>
        <w:rPr>
          <w:rFonts w:hint="eastAsia" w:asciiTheme="minorEastAsia" w:hAnsiTheme="minorEastAsia" w:eastAsiaTheme="minorEastAsia" w:cstheme="minorEastAsia"/>
          <w:color w:val="auto"/>
          <w:highlight w:val="none"/>
        </w:rPr>
        <w:t>；</w:t>
      </w:r>
    </w:p>
    <w:p w14:paraId="3B0DA74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r>
        <w:rPr>
          <w:rFonts w:hint="eastAsia" w:asciiTheme="minorEastAsia" w:hAnsiTheme="minorEastAsia" w:eastAsiaTheme="minorEastAsia" w:cstheme="minorEastAsia"/>
          <w:color w:val="auto"/>
          <w:highlight w:val="none"/>
          <w:u w:val="single"/>
        </w:rPr>
        <w:t>（标的名称）</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（采购文件中明确的所属行业）</w:t>
      </w:r>
      <w:r>
        <w:rPr>
          <w:rFonts w:hint="eastAsia" w:asciiTheme="minorEastAsia" w:hAnsiTheme="minorEastAsia" w:eastAsiaTheme="minorEastAsia" w:cstheme="minorEastAsia"/>
          <w:color w:val="auto"/>
          <w:highlight w:val="none"/>
        </w:rPr>
        <w:t>；承建（承接）企业为</w:t>
      </w:r>
      <w:r>
        <w:rPr>
          <w:rFonts w:hint="eastAsia" w:asciiTheme="minorEastAsia" w:hAnsiTheme="minorEastAsia" w:eastAsiaTheme="minorEastAsia" w:cstheme="minorEastAsia"/>
          <w:color w:val="auto"/>
          <w:highlight w:val="none"/>
          <w:u w:val="single"/>
        </w:rPr>
        <w:t>（企业名称）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万元，属于</w:t>
      </w:r>
      <w:r>
        <w:rPr>
          <w:rFonts w:hint="eastAsia" w:asciiTheme="minorEastAsia" w:hAnsiTheme="minorEastAsia" w:eastAsiaTheme="minorEastAsia" w:cstheme="minorEastAsia"/>
          <w:color w:val="auto"/>
          <w:highlight w:val="none"/>
          <w:u w:val="single"/>
        </w:rPr>
        <w:t>（中型企业、小型企业、微型企业）</w:t>
      </w:r>
      <w:r>
        <w:rPr>
          <w:rFonts w:hint="eastAsia" w:asciiTheme="minorEastAsia" w:hAnsiTheme="minorEastAsia" w:eastAsiaTheme="minorEastAsia" w:cstheme="minorEastAsia"/>
          <w:color w:val="auto"/>
          <w:highlight w:val="none"/>
        </w:rPr>
        <w:t>；</w:t>
      </w:r>
    </w:p>
    <w:p w14:paraId="7E4564B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077454A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以上企业，不属于大企业的分支机构，不存在控股股东为大企业的情形，也不存在与大企业的负责人为同一人的情形。</w:t>
      </w:r>
    </w:p>
    <w:p w14:paraId="545EF3B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本企业对上述声明内容的真实性负责。如有虚假，将依法承担相应责任。</w:t>
      </w:r>
    </w:p>
    <w:p w14:paraId="320C3144">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1CD930CB">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5F92672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37E56EA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1、从业人员、营业收入、资产总额填报上一年度数据，无上一年度数据的新成立企业可不填报。</w:t>
      </w:r>
    </w:p>
    <w:p w14:paraId="744AAC1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696B8F6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29B6A3E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424069DF">
      <w:pPr>
        <w:pStyle w:val="8"/>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三-2-②小型、微型企业等证明材料（价格扣除适用，若有）</w:t>
      </w:r>
    </w:p>
    <w:p w14:paraId="06D530B7">
      <w:pPr>
        <w:pStyle w:val="8"/>
        <w:ind w:firstLine="48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编制说明</w:t>
      </w:r>
    </w:p>
    <w:p w14:paraId="40E6E6E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1、投标人为监狱企业的，根据其提供的由省级以上监狱管理局、戒毒管理局（含新疆生产建设兵团）出具的属于监狱企业的证明文件进行认定，监狱企业视同小型、微型企业。</w:t>
      </w:r>
    </w:p>
    <w:p w14:paraId="3BEC3D5A">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2、投标人为残疾人福利性单位的，根据其提供的《残疾人福利性单位声明函》（格式附后）进行认定，残疾人福利性单位视同小型、微型企业。残疾人福利性单位属于小型、微型企业的，不重复享受政策。</w:t>
      </w:r>
    </w:p>
    <w:p w14:paraId="3C393F9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附：</w:t>
      </w:r>
    </w:p>
    <w:p w14:paraId="70D9F97A">
      <w:pPr>
        <w:pStyle w:val="8"/>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残疾人福利性单位声明函（价格扣除适用，若有）</w:t>
      </w:r>
    </w:p>
    <w:p w14:paraId="1E4D4691">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1BE09B4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1014127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）由本投标人承建的（填写“所投采购包、品目号”）工程</w:t>
      </w:r>
    </w:p>
    <w:p w14:paraId="3D2FAC9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）由本投标人承接的（填写“所投采购包、品目号”）服务；</w:t>
      </w:r>
    </w:p>
    <w:p w14:paraId="1F71595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本投标人对上述声明的真实性负责。如有虚假，将依法承担相应责任。</w:t>
      </w:r>
    </w:p>
    <w:p w14:paraId="423EAA4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w:t>
      </w:r>
    </w:p>
    <w:p w14:paraId="723A38B9">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1、请投标人按照实际情况编制填写本声明函，并在相应的（）中打“√”。</w:t>
      </w:r>
    </w:p>
    <w:p w14:paraId="2791D669">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2、若《残疾人福利性单位声明函》内容不真实，视为提供虚假材料。</w:t>
      </w:r>
    </w:p>
    <w:p w14:paraId="325CCCCB">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3B181BE0">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07F6DDC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216944D9">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附：</w:t>
      </w:r>
    </w:p>
    <w:p w14:paraId="0040F3E0">
      <w:pPr>
        <w:pStyle w:val="8"/>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监狱企业证明材料</w:t>
      </w:r>
    </w:p>
    <w:p w14:paraId="500B3B7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投标人为监狱企业，提供本单位制造的货物（承接的服务），并在电子投标文件中提供省级以上监狱管理局、戒毒管理局（含新疆生产建设兵团）出具的属于监狱企业的证明文件。</w:t>
      </w:r>
    </w:p>
    <w:p w14:paraId="1C8B95B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2742A35A">
      <w:pPr>
        <w:pStyle w:val="8"/>
        <w:jc w:val="center"/>
        <w:outlineLvl w:val="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三-3招标文件规定的其他价格扣除证明材料（若有）</w:t>
      </w:r>
    </w:p>
    <w:p w14:paraId="7AD374B9">
      <w:pPr>
        <w:pStyle w:val="8"/>
        <w:ind w:firstLine="48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编制说明</w:t>
      </w:r>
    </w:p>
    <w:p w14:paraId="5991DE2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若投标人可享受招标文件规定的除“节能（非强制类）、环境标志产品价格扣除”及“小型、微型企业产品等价格扣除”外的其他价格扣除优惠，则投标人应按照招标文件要求提供相应证明材料。</w:t>
      </w:r>
    </w:p>
    <w:p w14:paraId="650C69B3">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5F81039D">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封面格式(技术商务部分)</w:t>
      </w:r>
    </w:p>
    <w:p w14:paraId="424B3D20">
      <w:pPr>
        <w:pStyle w:val="8"/>
        <w:jc w:val="center"/>
        <w:outlineLvl w:val="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8"/>
          <w:highlight w:val="none"/>
        </w:rPr>
        <w:t>福建省政府采购投标文件</w:t>
      </w:r>
    </w:p>
    <w:p w14:paraId="10680A1F">
      <w:pPr>
        <w:pStyle w:val="8"/>
        <w:jc w:val="center"/>
        <w:outlineLvl w:val="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8"/>
          <w:highlight w:val="none"/>
        </w:rPr>
        <w:t>（技术商务部分）</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textWrapping"/>
      </w:r>
    </w:p>
    <w:p w14:paraId="266D4B13">
      <w:pPr>
        <w:pStyle w:val="8"/>
        <w:jc w:val="center"/>
        <w:outlineLvl w:val="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highlight w:val="none"/>
        </w:rPr>
        <w:t>（填写正本或副本）</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textWrapping"/>
      </w:r>
    </w:p>
    <w:p w14:paraId="171142D6">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项目名称：（由投标人填写）</w:t>
      </w:r>
    </w:p>
    <w:p w14:paraId="02C43988">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备案编号：（由投标人填写）</w:t>
      </w:r>
    </w:p>
    <w:p w14:paraId="07E577D0">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项目编号：（由投标人填写）</w:t>
      </w:r>
    </w:p>
    <w:p w14:paraId="3887A8E6">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所投采购包：（由投标人填写）</w:t>
      </w:r>
    </w:p>
    <w:p w14:paraId="25953F29">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投标人：（填写“全称”）</w:t>
      </w:r>
    </w:p>
    <w:p w14:paraId="07BCD7A7">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（由投标人填写）年（由投标人填写）月</w:t>
      </w:r>
    </w:p>
    <w:p w14:paraId="644E8E46">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32FD9E8A">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索引</w:t>
      </w:r>
    </w:p>
    <w:p w14:paraId="259682F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一、标的说明一览表</w:t>
      </w:r>
    </w:p>
    <w:p w14:paraId="141100D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二、技术和服务要求响应表</w:t>
      </w:r>
    </w:p>
    <w:p w14:paraId="7C5CBB0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三、商务条件响应表</w:t>
      </w:r>
    </w:p>
    <w:p w14:paraId="4B82904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四、投标人提交的其他资料（若有）</w:t>
      </w:r>
    </w:p>
    <w:p w14:paraId="043CA97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71CCAE3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技术商务部分中不得出现报价部分的全部或部分的投标报价信息（或组成资料），否则符合性审查不合格。</w:t>
      </w:r>
    </w:p>
    <w:p w14:paraId="48BED2BA">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1794C4A0">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一、标的说明一览表</w:t>
      </w:r>
    </w:p>
    <w:p w14:paraId="71688673">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项目编号：</w:t>
      </w:r>
      <w:r>
        <w:rPr>
          <w:rFonts w:hint="eastAsia" w:asciiTheme="minorEastAsia" w:hAnsiTheme="minorEastAsia" w:eastAsiaTheme="minorEastAsia" w:cstheme="minorEastAsia"/>
          <w:color w:val="auto"/>
          <w:highlight w:val="none"/>
          <w:u w:val="single"/>
        </w:rPr>
        <w:t>　　　　　　　　</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48B04C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4B35146">
            <w:pPr>
              <w:pStyle w:val="8"/>
              <w:jc w:val="left"/>
              <w:rPr>
                <w:rFonts w:hint="eastAsia" w:asciiTheme="minorEastAsia" w:hAnsiTheme="minorEastAsia" w:eastAsiaTheme="minorEastAsia" w:cstheme="minorEastAsia"/>
                <w:color w:val="auto"/>
                <w:highlight w:val="none"/>
              </w:rPr>
            </w:pPr>
            <w:bookmarkStart w:id="2" w:name="_GoBack"/>
            <w:r>
              <w:rPr>
                <w:rFonts w:hint="eastAsia" w:asciiTheme="minorEastAsia" w:hAnsiTheme="minorEastAsia" w:eastAsiaTheme="minorEastAsia" w:cstheme="minorEastAsia"/>
                <w:color w:val="auto"/>
                <w:highlight w:val="none"/>
              </w:rPr>
              <w:t>采购包</w:t>
            </w:r>
          </w:p>
        </w:tc>
        <w:tc>
          <w:tcPr>
            <w:tcW w:w="1187" w:type="dxa"/>
          </w:tcPr>
          <w:p w14:paraId="5D32D41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品目号</w:t>
            </w:r>
          </w:p>
        </w:tc>
        <w:tc>
          <w:tcPr>
            <w:tcW w:w="1187" w:type="dxa"/>
          </w:tcPr>
          <w:p w14:paraId="74C2698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投标标的</w:t>
            </w:r>
          </w:p>
        </w:tc>
        <w:tc>
          <w:tcPr>
            <w:tcW w:w="1187" w:type="dxa"/>
          </w:tcPr>
          <w:p w14:paraId="402B4FE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数量</w:t>
            </w:r>
          </w:p>
        </w:tc>
        <w:tc>
          <w:tcPr>
            <w:tcW w:w="1187" w:type="dxa"/>
          </w:tcPr>
          <w:p w14:paraId="262D279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规格</w:t>
            </w:r>
          </w:p>
        </w:tc>
        <w:tc>
          <w:tcPr>
            <w:tcW w:w="1187" w:type="dxa"/>
          </w:tcPr>
          <w:p w14:paraId="4B92837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来源地</w:t>
            </w:r>
          </w:p>
        </w:tc>
        <w:tc>
          <w:tcPr>
            <w:tcW w:w="1187" w:type="dxa"/>
          </w:tcPr>
          <w:p w14:paraId="3EB2A9BB">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w:t>
            </w:r>
          </w:p>
        </w:tc>
      </w:tr>
      <w:tr w14:paraId="2BF1A2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vMerge w:val="restart"/>
          </w:tcPr>
          <w:p w14:paraId="10F056E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187" w:type="dxa"/>
          </w:tcPr>
          <w:p w14:paraId="6F5FD69D">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187" w:type="dxa"/>
          </w:tcPr>
          <w:p w14:paraId="70B0F40D">
            <w:pPr>
              <w:rPr>
                <w:rFonts w:hint="eastAsia" w:asciiTheme="minorEastAsia" w:hAnsiTheme="minorEastAsia" w:eastAsiaTheme="minorEastAsia" w:cstheme="minorEastAsia"/>
                <w:color w:val="auto"/>
                <w:highlight w:val="none"/>
              </w:rPr>
            </w:pPr>
          </w:p>
        </w:tc>
        <w:tc>
          <w:tcPr>
            <w:tcW w:w="1187" w:type="dxa"/>
          </w:tcPr>
          <w:p w14:paraId="7AA92BF1">
            <w:pPr>
              <w:rPr>
                <w:rFonts w:hint="eastAsia" w:asciiTheme="minorEastAsia" w:hAnsiTheme="minorEastAsia" w:eastAsiaTheme="minorEastAsia" w:cstheme="minorEastAsia"/>
                <w:color w:val="auto"/>
                <w:highlight w:val="none"/>
              </w:rPr>
            </w:pPr>
          </w:p>
        </w:tc>
        <w:tc>
          <w:tcPr>
            <w:tcW w:w="1187" w:type="dxa"/>
          </w:tcPr>
          <w:p w14:paraId="053C2C9F">
            <w:pPr>
              <w:rPr>
                <w:rFonts w:hint="eastAsia" w:asciiTheme="minorEastAsia" w:hAnsiTheme="minorEastAsia" w:eastAsiaTheme="minorEastAsia" w:cstheme="minorEastAsia"/>
                <w:color w:val="auto"/>
                <w:highlight w:val="none"/>
              </w:rPr>
            </w:pPr>
          </w:p>
        </w:tc>
        <w:tc>
          <w:tcPr>
            <w:tcW w:w="1187" w:type="dxa"/>
          </w:tcPr>
          <w:p w14:paraId="4CEAB144">
            <w:pPr>
              <w:rPr>
                <w:rFonts w:hint="eastAsia" w:asciiTheme="minorEastAsia" w:hAnsiTheme="minorEastAsia" w:eastAsiaTheme="minorEastAsia" w:cstheme="minorEastAsia"/>
                <w:color w:val="auto"/>
                <w:highlight w:val="none"/>
              </w:rPr>
            </w:pPr>
          </w:p>
        </w:tc>
      </w:tr>
      <w:tr w14:paraId="325AF7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vMerge w:val="continue"/>
          </w:tcPr>
          <w:p w14:paraId="25DA8B3F">
            <w:pPr>
              <w:rPr>
                <w:rFonts w:hint="eastAsia" w:asciiTheme="minorEastAsia" w:hAnsiTheme="minorEastAsia" w:eastAsiaTheme="minorEastAsia" w:cstheme="minorEastAsia"/>
                <w:color w:val="auto"/>
                <w:highlight w:val="none"/>
              </w:rPr>
            </w:pPr>
          </w:p>
        </w:tc>
        <w:tc>
          <w:tcPr>
            <w:tcW w:w="1187" w:type="dxa"/>
          </w:tcPr>
          <w:p w14:paraId="79651F83">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187" w:type="dxa"/>
          </w:tcPr>
          <w:p w14:paraId="3D9EA26C">
            <w:pPr>
              <w:rPr>
                <w:rFonts w:hint="eastAsia" w:asciiTheme="minorEastAsia" w:hAnsiTheme="minorEastAsia" w:eastAsiaTheme="minorEastAsia" w:cstheme="minorEastAsia"/>
                <w:color w:val="auto"/>
                <w:highlight w:val="none"/>
              </w:rPr>
            </w:pPr>
          </w:p>
        </w:tc>
        <w:tc>
          <w:tcPr>
            <w:tcW w:w="1187" w:type="dxa"/>
          </w:tcPr>
          <w:p w14:paraId="7C9E2761">
            <w:pPr>
              <w:rPr>
                <w:rFonts w:hint="eastAsia" w:asciiTheme="minorEastAsia" w:hAnsiTheme="minorEastAsia" w:eastAsiaTheme="minorEastAsia" w:cstheme="minorEastAsia"/>
                <w:color w:val="auto"/>
                <w:highlight w:val="none"/>
              </w:rPr>
            </w:pPr>
          </w:p>
        </w:tc>
        <w:tc>
          <w:tcPr>
            <w:tcW w:w="1187" w:type="dxa"/>
          </w:tcPr>
          <w:p w14:paraId="139DAEBC">
            <w:pPr>
              <w:rPr>
                <w:rFonts w:hint="eastAsia" w:asciiTheme="minorEastAsia" w:hAnsiTheme="minorEastAsia" w:eastAsiaTheme="minorEastAsia" w:cstheme="minorEastAsia"/>
                <w:color w:val="auto"/>
                <w:highlight w:val="none"/>
              </w:rPr>
            </w:pPr>
          </w:p>
        </w:tc>
        <w:tc>
          <w:tcPr>
            <w:tcW w:w="1187" w:type="dxa"/>
          </w:tcPr>
          <w:p w14:paraId="317ABAFD">
            <w:pPr>
              <w:rPr>
                <w:rFonts w:hint="eastAsia" w:asciiTheme="minorEastAsia" w:hAnsiTheme="minorEastAsia" w:eastAsiaTheme="minorEastAsia" w:cstheme="minorEastAsia"/>
                <w:color w:val="auto"/>
                <w:highlight w:val="none"/>
              </w:rPr>
            </w:pPr>
          </w:p>
        </w:tc>
      </w:tr>
      <w:tr w14:paraId="4F68DE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tcPr>
          <w:p w14:paraId="76FFE03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187" w:type="dxa"/>
          </w:tcPr>
          <w:p w14:paraId="68F6C5BE">
            <w:pPr>
              <w:rPr>
                <w:rFonts w:hint="eastAsia" w:asciiTheme="minorEastAsia" w:hAnsiTheme="minorEastAsia" w:eastAsiaTheme="minorEastAsia" w:cstheme="minorEastAsia"/>
                <w:color w:val="auto"/>
                <w:highlight w:val="none"/>
              </w:rPr>
            </w:pPr>
          </w:p>
        </w:tc>
        <w:tc>
          <w:tcPr>
            <w:tcW w:w="1187" w:type="dxa"/>
          </w:tcPr>
          <w:p w14:paraId="3C00C19C">
            <w:pPr>
              <w:rPr>
                <w:rFonts w:hint="eastAsia" w:asciiTheme="minorEastAsia" w:hAnsiTheme="minorEastAsia" w:eastAsiaTheme="minorEastAsia" w:cstheme="minorEastAsia"/>
                <w:color w:val="auto"/>
                <w:highlight w:val="none"/>
              </w:rPr>
            </w:pPr>
          </w:p>
        </w:tc>
        <w:tc>
          <w:tcPr>
            <w:tcW w:w="1187" w:type="dxa"/>
          </w:tcPr>
          <w:p w14:paraId="0B6F1A74">
            <w:pPr>
              <w:rPr>
                <w:rFonts w:hint="eastAsia" w:asciiTheme="minorEastAsia" w:hAnsiTheme="minorEastAsia" w:eastAsiaTheme="minorEastAsia" w:cstheme="minorEastAsia"/>
                <w:color w:val="auto"/>
                <w:highlight w:val="none"/>
              </w:rPr>
            </w:pPr>
          </w:p>
        </w:tc>
        <w:tc>
          <w:tcPr>
            <w:tcW w:w="1187" w:type="dxa"/>
          </w:tcPr>
          <w:p w14:paraId="5E2D5250">
            <w:pPr>
              <w:rPr>
                <w:rFonts w:hint="eastAsia" w:asciiTheme="minorEastAsia" w:hAnsiTheme="minorEastAsia" w:eastAsiaTheme="minorEastAsia" w:cstheme="minorEastAsia"/>
                <w:color w:val="auto"/>
                <w:highlight w:val="none"/>
              </w:rPr>
            </w:pPr>
          </w:p>
        </w:tc>
        <w:tc>
          <w:tcPr>
            <w:tcW w:w="1187" w:type="dxa"/>
          </w:tcPr>
          <w:p w14:paraId="0CE239E8">
            <w:pPr>
              <w:rPr>
                <w:rFonts w:hint="eastAsia" w:asciiTheme="minorEastAsia" w:hAnsiTheme="minorEastAsia" w:eastAsiaTheme="minorEastAsia" w:cstheme="minorEastAsia"/>
                <w:color w:val="auto"/>
                <w:highlight w:val="none"/>
              </w:rPr>
            </w:pPr>
          </w:p>
        </w:tc>
      </w:tr>
      <w:bookmarkEnd w:id="2"/>
    </w:tbl>
    <w:p w14:paraId="557B4C1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1C045AA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1、本表应按照下列规定填写：</w:t>
      </w:r>
    </w:p>
    <w:p w14:paraId="7D3D05E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1.1“采购包”、“品目号”、“投标标的”及“数量”应与招标文件《采购标的一览表》中的有关内容（“采购包”、“品目号”、“采购标的”及“数量”）保持一致。</w:t>
      </w:r>
    </w:p>
    <w:p w14:paraId="0723C84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14:paraId="7EA96B17">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1.3“投标标的”为服务的：“规格”项下应填写服务提供者提供的服务标准及品牌（若有）。“来源地”应填写服务提供者的所在地。“备注”项下应填写关于服务标准所涵盖的具体项目或内容的说明等。</w:t>
      </w:r>
    </w:p>
    <w:p w14:paraId="04E3697A">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2、投标人需要说明的内容若需特殊表达，应先在本表中进行相应说明，再另页应答，但应做好标注说明，方便评委查阅评审。未标注说明可能导致的不利的评审后果由投标人自行承担。</w:t>
      </w:r>
    </w:p>
    <w:p w14:paraId="2AD28FC9">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3、电子投标文件中涉及“投标标的”、“数量”、“规格”、“来源地”的内容若不一致，以投标客户端的投标（响应）报价明细表为准。</w:t>
      </w:r>
    </w:p>
    <w:p w14:paraId="26C45A63">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01569A4B">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0EE54FEA">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6408094E">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二、技术和服务要求响应表</w:t>
      </w:r>
    </w:p>
    <w:p w14:paraId="643AC7D3">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项目编号：</w:t>
      </w:r>
      <w:r>
        <w:rPr>
          <w:rFonts w:hint="eastAsia" w:asciiTheme="minorEastAsia" w:hAnsiTheme="minorEastAsia" w:eastAsiaTheme="minorEastAsia" w:cstheme="minorEastAsia"/>
          <w:color w:val="auto"/>
          <w:highlight w:val="none"/>
          <w:u w:val="single"/>
        </w:rPr>
        <w:t>　　　　　　　　</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25E661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2D35D35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w:t>
            </w:r>
          </w:p>
        </w:tc>
        <w:tc>
          <w:tcPr>
            <w:tcW w:w="1661" w:type="dxa"/>
          </w:tcPr>
          <w:p w14:paraId="2C76605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品目号</w:t>
            </w:r>
          </w:p>
        </w:tc>
        <w:tc>
          <w:tcPr>
            <w:tcW w:w="1661" w:type="dxa"/>
          </w:tcPr>
          <w:p w14:paraId="4AD15F7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技术和服务要求</w:t>
            </w:r>
          </w:p>
        </w:tc>
        <w:tc>
          <w:tcPr>
            <w:tcW w:w="1661" w:type="dxa"/>
          </w:tcPr>
          <w:p w14:paraId="6FCA5F5C">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投标响应</w:t>
            </w:r>
          </w:p>
        </w:tc>
        <w:tc>
          <w:tcPr>
            <w:tcW w:w="1661" w:type="dxa"/>
          </w:tcPr>
          <w:p w14:paraId="051AB1B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是否偏离及说明</w:t>
            </w:r>
          </w:p>
        </w:tc>
      </w:tr>
      <w:tr w14:paraId="61207E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1AEB409E">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661" w:type="dxa"/>
          </w:tcPr>
          <w:p w14:paraId="6DAB120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661" w:type="dxa"/>
          </w:tcPr>
          <w:p w14:paraId="667A3B22">
            <w:pPr>
              <w:rPr>
                <w:rFonts w:hint="eastAsia" w:asciiTheme="minorEastAsia" w:hAnsiTheme="minorEastAsia" w:eastAsiaTheme="minorEastAsia" w:cstheme="minorEastAsia"/>
                <w:color w:val="auto"/>
                <w:highlight w:val="none"/>
              </w:rPr>
            </w:pPr>
          </w:p>
        </w:tc>
        <w:tc>
          <w:tcPr>
            <w:tcW w:w="1661" w:type="dxa"/>
          </w:tcPr>
          <w:p w14:paraId="471D3867">
            <w:pPr>
              <w:rPr>
                <w:rFonts w:hint="eastAsia" w:asciiTheme="minorEastAsia" w:hAnsiTheme="minorEastAsia" w:eastAsiaTheme="minorEastAsia" w:cstheme="minorEastAsia"/>
                <w:color w:val="auto"/>
                <w:highlight w:val="none"/>
              </w:rPr>
            </w:pPr>
          </w:p>
        </w:tc>
        <w:tc>
          <w:tcPr>
            <w:tcW w:w="1661" w:type="dxa"/>
          </w:tcPr>
          <w:p w14:paraId="60613511">
            <w:pPr>
              <w:rPr>
                <w:rFonts w:hint="eastAsia" w:asciiTheme="minorEastAsia" w:hAnsiTheme="minorEastAsia" w:eastAsiaTheme="minorEastAsia" w:cstheme="minorEastAsia"/>
                <w:color w:val="auto"/>
                <w:highlight w:val="none"/>
              </w:rPr>
            </w:pPr>
          </w:p>
        </w:tc>
      </w:tr>
      <w:tr w14:paraId="161BB0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5F14435C">
            <w:pPr>
              <w:rPr>
                <w:rFonts w:hint="eastAsia" w:asciiTheme="minorEastAsia" w:hAnsiTheme="minorEastAsia" w:eastAsiaTheme="minorEastAsia" w:cstheme="minorEastAsia"/>
                <w:color w:val="auto"/>
                <w:highlight w:val="none"/>
              </w:rPr>
            </w:pPr>
          </w:p>
        </w:tc>
        <w:tc>
          <w:tcPr>
            <w:tcW w:w="1661" w:type="dxa"/>
          </w:tcPr>
          <w:p w14:paraId="483A6375">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661" w:type="dxa"/>
          </w:tcPr>
          <w:p w14:paraId="68EB373E">
            <w:pPr>
              <w:rPr>
                <w:rFonts w:hint="eastAsia" w:asciiTheme="minorEastAsia" w:hAnsiTheme="minorEastAsia" w:eastAsiaTheme="minorEastAsia" w:cstheme="minorEastAsia"/>
                <w:color w:val="auto"/>
                <w:highlight w:val="none"/>
              </w:rPr>
            </w:pPr>
          </w:p>
        </w:tc>
        <w:tc>
          <w:tcPr>
            <w:tcW w:w="1661" w:type="dxa"/>
          </w:tcPr>
          <w:p w14:paraId="16C3560C">
            <w:pPr>
              <w:rPr>
                <w:rFonts w:hint="eastAsia" w:asciiTheme="minorEastAsia" w:hAnsiTheme="minorEastAsia" w:eastAsiaTheme="minorEastAsia" w:cstheme="minorEastAsia"/>
                <w:color w:val="auto"/>
                <w:highlight w:val="none"/>
              </w:rPr>
            </w:pPr>
          </w:p>
        </w:tc>
        <w:tc>
          <w:tcPr>
            <w:tcW w:w="1661" w:type="dxa"/>
          </w:tcPr>
          <w:p w14:paraId="7A89760B">
            <w:pPr>
              <w:rPr>
                <w:rFonts w:hint="eastAsia" w:asciiTheme="minorEastAsia" w:hAnsiTheme="minorEastAsia" w:eastAsiaTheme="minorEastAsia" w:cstheme="minorEastAsia"/>
                <w:color w:val="auto"/>
                <w:highlight w:val="none"/>
              </w:rPr>
            </w:pPr>
          </w:p>
        </w:tc>
      </w:tr>
      <w:tr w14:paraId="470E59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58431946">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661" w:type="dxa"/>
          </w:tcPr>
          <w:p w14:paraId="1C8C8D36">
            <w:pPr>
              <w:rPr>
                <w:rFonts w:hint="eastAsia" w:asciiTheme="minorEastAsia" w:hAnsiTheme="minorEastAsia" w:eastAsiaTheme="minorEastAsia" w:cstheme="minorEastAsia"/>
                <w:color w:val="auto"/>
                <w:highlight w:val="none"/>
              </w:rPr>
            </w:pPr>
          </w:p>
        </w:tc>
        <w:tc>
          <w:tcPr>
            <w:tcW w:w="1661" w:type="dxa"/>
          </w:tcPr>
          <w:p w14:paraId="7872952C">
            <w:pPr>
              <w:rPr>
                <w:rFonts w:hint="eastAsia" w:asciiTheme="minorEastAsia" w:hAnsiTheme="minorEastAsia" w:eastAsiaTheme="minorEastAsia" w:cstheme="minorEastAsia"/>
                <w:color w:val="auto"/>
                <w:highlight w:val="none"/>
              </w:rPr>
            </w:pPr>
          </w:p>
        </w:tc>
        <w:tc>
          <w:tcPr>
            <w:tcW w:w="1661" w:type="dxa"/>
          </w:tcPr>
          <w:p w14:paraId="2409B1B8">
            <w:pPr>
              <w:rPr>
                <w:rFonts w:hint="eastAsia" w:asciiTheme="minorEastAsia" w:hAnsiTheme="minorEastAsia" w:eastAsiaTheme="minorEastAsia" w:cstheme="minorEastAsia"/>
                <w:color w:val="auto"/>
                <w:highlight w:val="none"/>
              </w:rPr>
            </w:pPr>
          </w:p>
        </w:tc>
        <w:tc>
          <w:tcPr>
            <w:tcW w:w="1661" w:type="dxa"/>
          </w:tcPr>
          <w:p w14:paraId="77993FF7">
            <w:pPr>
              <w:rPr>
                <w:rFonts w:hint="eastAsia" w:asciiTheme="minorEastAsia" w:hAnsiTheme="minorEastAsia" w:eastAsiaTheme="minorEastAsia" w:cstheme="minorEastAsia"/>
                <w:color w:val="auto"/>
                <w:highlight w:val="none"/>
              </w:rPr>
            </w:pPr>
          </w:p>
        </w:tc>
      </w:tr>
    </w:tbl>
    <w:p w14:paraId="130C7B8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690C6BD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1、本表应按照下列规定填写：</w:t>
      </w:r>
    </w:p>
    <w:p w14:paraId="7CB15AF2">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1.1“技术和服务要求”项下填写的内容应与招标文件第五章“技术和服务要求”的内容保持一致。</w:t>
      </w:r>
    </w:p>
    <w:p w14:paraId="18BD422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14:paraId="3CBC9748">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1.3“是否偏离及说明”项下应按下列规定填写：优于的，填写“正偏离”；符合的，填写“无偏离”；低于的，填写“负偏离”。</w:t>
      </w:r>
    </w:p>
    <w:p w14:paraId="064A83AE">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2、投标人需要说明的内容若需特殊表达，应先在本表中进行相应说明，再另页应答，但应做好标注说明，方便评委查阅评审。未标注说明可能导致的不利的评审后果由投标人自行承担。</w:t>
      </w:r>
    </w:p>
    <w:p w14:paraId="2F89764E">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325AA5AF">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5E63CF41">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0DACB363">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三、商务条件响应表</w:t>
      </w:r>
    </w:p>
    <w:p w14:paraId="36F67B4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项目编号：</w:t>
      </w:r>
      <w:r>
        <w:rPr>
          <w:rFonts w:hint="eastAsia" w:asciiTheme="minorEastAsia" w:hAnsiTheme="minorEastAsia" w:eastAsiaTheme="minorEastAsia" w:cstheme="minorEastAsia"/>
          <w:color w:val="auto"/>
          <w:highlight w:val="none"/>
          <w:u w:val="single"/>
        </w:rPr>
        <w:t>　　　　　　　　</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14697C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D6F7842">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采购包</w:t>
            </w:r>
          </w:p>
        </w:tc>
        <w:tc>
          <w:tcPr>
            <w:tcW w:w="1661" w:type="dxa"/>
          </w:tcPr>
          <w:p w14:paraId="6DFFDC1F">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品目号</w:t>
            </w:r>
          </w:p>
        </w:tc>
        <w:tc>
          <w:tcPr>
            <w:tcW w:w="1661" w:type="dxa"/>
          </w:tcPr>
          <w:p w14:paraId="2C4139D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商务条件</w:t>
            </w:r>
          </w:p>
        </w:tc>
        <w:tc>
          <w:tcPr>
            <w:tcW w:w="1661" w:type="dxa"/>
          </w:tcPr>
          <w:p w14:paraId="4E98EBC0">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投标响应</w:t>
            </w:r>
          </w:p>
        </w:tc>
        <w:tc>
          <w:tcPr>
            <w:tcW w:w="1661" w:type="dxa"/>
          </w:tcPr>
          <w:p w14:paraId="5561152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是否偏离及说明</w:t>
            </w:r>
          </w:p>
        </w:tc>
      </w:tr>
      <w:tr w14:paraId="314A83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16DCBA6A">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661" w:type="dxa"/>
          </w:tcPr>
          <w:p w14:paraId="5C639E31">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661" w:type="dxa"/>
          </w:tcPr>
          <w:p w14:paraId="32F292F4">
            <w:pPr>
              <w:rPr>
                <w:rFonts w:hint="eastAsia" w:asciiTheme="minorEastAsia" w:hAnsiTheme="minorEastAsia" w:eastAsiaTheme="minorEastAsia" w:cstheme="minorEastAsia"/>
                <w:color w:val="auto"/>
                <w:highlight w:val="none"/>
              </w:rPr>
            </w:pPr>
          </w:p>
        </w:tc>
        <w:tc>
          <w:tcPr>
            <w:tcW w:w="1661" w:type="dxa"/>
          </w:tcPr>
          <w:p w14:paraId="3ECA6372">
            <w:pPr>
              <w:rPr>
                <w:rFonts w:hint="eastAsia" w:asciiTheme="minorEastAsia" w:hAnsiTheme="minorEastAsia" w:eastAsiaTheme="minorEastAsia" w:cstheme="minorEastAsia"/>
                <w:color w:val="auto"/>
                <w:highlight w:val="none"/>
              </w:rPr>
            </w:pPr>
          </w:p>
        </w:tc>
        <w:tc>
          <w:tcPr>
            <w:tcW w:w="1661" w:type="dxa"/>
          </w:tcPr>
          <w:p w14:paraId="68B96125">
            <w:pPr>
              <w:rPr>
                <w:rFonts w:hint="eastAsia" w:asciiTheme="minorEastAsia" w:hAnsiTheme="minorEastAsia" w:eastAsiaTheme="minorEastAsia" w:cstheme="minorEastAsia"/>
                <w:color w:val="auto"/>
                <w:highlight w:val="none"/>
              </w:rPr>
            </w:pPr>
          </w:p>
        </w:tc>
      </w:tr>
      <w:tr w14:paraId="1305BD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5D479F98">
            <w:pPr>
              <w:rPr>
                <w:rFonts w:hint="eastAsia" w:asciiTheme="minorEastAsia" w:hAnsiTheme="minorEastAsia" w:eastAsiaTheme="minorEastAsia" w:cstheme="minorEastAsia"/>
                <w:color w:val="auto"/>
                <w:highlight w:val="none"/>
              </w:rPr>
            </w:pPr>
          </w:p>
        </w:tc>
        <w:tc>
          <w:tcPr>
            <w:tcW w:w="1661" w:type="dxa"/>
          </w:tcPr>
          <w:p w14:paraId="1BBEC8C8">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661" w:type="dxa"/>
          </w:tcPr>
          <w:p w14:paraId="406DE017">
            <w:pPr>
              <w:rPr>
                <w:rFonts w:hint="eastAsia" w:asciiTheme="minorEastAsia" w:hAnsiTheme="minorEastAsia" w:eastAsiaTheme="minorEastAsia" w:cstheme="minorEastAsia"/>
                <w:color w:val="auto"/>
                <w:highlight w:val="none"/>
              </w:rPr>
            </w:pPr>
          </w:p>
        </w:tc>
        <w:tc>
          <w:tcPr>
            <w:tcW w:w="1661" w:type="dxa"/>
          </w:tcPr>
          <w:p w14:paraId="18908E3D">
            <w:pPr>
              <w:rPr>
                <w:rFonts w:hint="eastAsia" w:asciiTheme="minorEastAsia" w:hAnsiTheme="minorEastAsia" w:eastAsiaTheme="minorEastAsia" w:cstheme="minorEastAsia"/>
                <w:color w:val="auto"/>
                <w:highlight w:val="none"/>
              </w:rPr>
            </w:pPr>
          </w:p>
        </w:tc>
        <w:tc>
          <w:tcPr>
            <w:tcW w:w="1661" w:type="dxa"/>
          </w:tcPr>
          <w:p w14:paraId="34600484">
            <w:pPr>
              <w:rPr>
                <w:rFonts w:hint="eastAsia" w:asciiTheme="minorEastAsia" w:hAnsiTheme="minorEastAsia" w:eastAsiaTheme="minorEastAsia" w:cstheme="minorEastAsia"/>
                <w:color w:val="auto"/>
                <w:highlight w:val="none"/>
              </w:rPr>
            </w:pPr>
          </w:p>
        </w:tc>
      </w:tr>
      <w:tr w14:paraId="54CB36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8AAE847">
            <w:pPr>
              <w:pStyle w:val="8"/>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661" w:type="dxa"/>
          </w:tcPr>
          <w:p w14:paraId="45896F01">
            <w:pPr>
              <w:rPr>
                <w:rFonts w:hint="eastAsia" w:asciiTheme="minorEastAsia" w:hAnsiTheme="minorEastAsia" w:eastAsiaTheme="minorEastAsia" w:cstheme="minorEastAsia"/>
                <w:color w:val="auto"/>
                <w:highlight w:val="none"/>
              </w:rPr>
            </w:pPr>
          </w:p>
        </w:tc>
        <w:tc>
          <w:tcPr>
            <w:tcW w:w="1661" w:type="dxa"/>
          </w:tcPr>
          <w:p w14:paraId="5529FFBF">
            <w:pPr>
              <w:rPr>
                <w:rFonts w:hint="eastAsia" w:asciiTheme="minorEastAsia" w:hAnsiTheme="minorEastAsia" w:eastAsiaTheme="minorEastAsia" w:cstheme="minorEastAsia"/>
                <w:color w:val="auto"/>
                <w:highlight w:val="none"/>
              </w:rPr>
            </w:pPr>
          </w:p>
        </w:tc>
        <w:tc>
          <w:tcPr>
            <w:tcW w:w="1661" w:type="dxa"/>
          </w:tcPr>
          <w:p w14:paraId="7FBC33EC">
            <w:pPr>
              <w:rPr>
                <w:rFonts w:hint="eastAsia" w:asciiTheme="minorEastAsia" w:hAnsiTheme="minorEastAsia" w:eastAsiaTheme="minorEastAsia" w:cstheme="minorEastAsia"/>
                <w:color w:val="auto"/>
                <w:highlight w:val="none"/>
              </w:rPr>
            </w:pPr>
          </w:p>
        </w:tc>
        <w:tc>
          <w:tcPr>
            <w:tcW w:w="1661" w:type="dxa"/>
          </w:tcPr>
          <w:p w14:paraId="28E59E8D">
            <w:pPr>
              <w:rPr>
                <w:rFonts w:hint="eastAsia" w:asciiTheme="minorEastAsia" w:hAnsiTheme="minorEastAsia" w:eastAsiaTheme="minorEastAsia" w:cstheme="minorEastAsia"/>
                <w:color w:val="auto"/>
                <w:highlight w:val="none"/>
              </w:rPr>
            </w:pPr>
          </w:p>
        </w:tc>
      </w:tr>
    </w:tbl>
    <w:p w14:paraId="5F5FF16B">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※注意：</w:t>
      </w:r>
    </w:p>
    <w:p w14:paraId="49B96285">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1、本表应按照下列规定填写：</w:t>
      </w:r>
    </w:p>
    <w:p w14:paraId="48DC6EBC">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1.1“商务条件”项下填写的内容应与招标文件第五章“商务条件”的内容保持一致。</w:t>
      </w:r>
    </w:p>
    <w:p w14:paraId="4403A9F0">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1.2“投标响应”项下应填写具体的响应内容并与“商务条件”项下填写的内容逐项对应；对“商务条件”项下涉及“≥或＞”、“≤或＜”及某个区间值范围内的内容，应填写具体的数值。</w:t>
      </w:r>
    </w:p>
    <w:p w14:paraId="36125DC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1.3“是否偏离及说明”项下应按下列规定填写：优于的，填写“正偏离”；符合的，填写“无偏离”；低于的，填写“负偏离”。</w:t>
      </w:r>
    </w:p>
    <w:p w14:paraId="4CC6038D">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2、投标人需要说明的内容若需特殊表达，应先在本表中进行相应说明，再另页应答，但应做好标注说明，方便评委查阅评审。未标注说明可能导致的不利的评审后果由投标人自行承担。</w:t>
      </w:r>
    </w:p>
    <w:p w14:paraId="3E47130D">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w:t>
      </w:r>
      <w:r>
        <w:rPr>
          <w:rFonts w:hint="eastAsia" w:asciiTheme="minorEastAsia" w:hAnsiTheme="minorEastAsia" w:eastAsiaTheme="minorEastAsia" w:cstheme="minorEastAsia"/>
          <w:color w:val="auto"/>
          <w:highlight w:val="none"/>
          <w:u w:val="single"/>
        </w:rPr>
        <w:t>（全称并加盖单位公章）</w:t>
      </w:r>
    </w:p>
    <w:p w14:paraId="6F48C55F">
      <w:pPr>
        <w:pStyle w:val="8"/>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u w:val="single"/>
        </w:rPr>
        <w:t>　　年　　月　　日</w:t>
      </w:r>
    </w:p>
    <w:p w14:paraId="3E54DA9B">
      <w:pPr>
        <w:pStyle w:val="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color w:val="auto"/>
          <w:highlight w:val="none"/>
        </w:rPr>
        <w:br w:type="page"/>
      </w:r>
    </w:p>
    <w:p w14:paraId="3338984C">
      <w:pPr>
        <w:pStyle w:val="8"/>
        <w:jc w:val="center"/>
        <w:outlineLvl w:val="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8"/>
          <w:highlight w:val="none"/>
        </w:rPr>
        <w:t>四、投标人提交的其他资料（若有）</w:t>
      </w:r>
    </w:p>
    <w:p w14:paraId="69631EA7">
      <w:pPr>
        <w:pStyle w:val="8"/>
        <w:ind w:firstLine="48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编制说明</w:t>
      </w:r>
    </w:p>
    <w:p w14:paraId="3EFDE3A6">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1、招标文件要求提交的除“资格及资信证明部分”、“报价部分”外的其他证明材料或资料加盖投标人的单位公章后应在此项下提交。</w:t>
      </w:r>
    </w:p>
    <w:p w14:paraId="2C0B6F1F">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2、招标文件要求投标人提供方案（包括但不限于：组织、实施、技术、服务方案等）的，投标人应在此项下提交。</w:t>
      </w:r>
    </w:p>
    <w:p w14:paraId="04E0CA24">
      <w:pPr>
        <w:pStyle w:val="8"/>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3、除招标文件另有规定外，投标人认为需要提交的其他证明材料或资料加盖投标人的单位公章后应在此项下提交。</w:t>
      </w:r>
    </w:p>
    <w:p w14:paraId="077E7BC5">
      <w:pPr>
        <w:pStyle w:val="8"/>
        <w:rPr>
          <w:rFonts w:hint="eastAsia" w:asciiTheme="minorEastAsia" w:hAnsiTheme="minorEastAsia" w:eastAsiaTheme="minorEastAsia" w:cstheme="minorEastAsia"/>
          <w:color w:val="auto"/>
          <w:highlight w:val="none"/>
          <w:lang w:val="en-US" w:eastAsia="zh-Hans"/>
        </w:rPr>
      </w:pPr>
    </w:p>
    <w:sectPr>
      <w:pgSz w:w="11906" w:h="16838"/>
      <w:pgMar w:top="1440" w:right="1236" w:bottom="1440" w:left="123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C2703E"/>
    <w:multiLevelType w:val="singleLevel"/>
    <w:tmpl w:val="59C2703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002B06D1"/>
    <w:rsid w:val="005A7208"/>
    <w:rsid w:val="00BC757B"/>
    <w:rsid w:val="00EA058C"/>
    <w:rsid w:val="012B64AF"/>
    <w:rsid w:val="01892A6D"/>
    <w:rsid w:val="025C1016"/>
    <w:rsid w:val="02902A6D"/>
    <w:rsid w:val="035A4CAD"/>
    <w:rsid w:val="0451447E"/>
    <w:rsid w:val="04BA64C7"/>
    <w:rsid w:val="05A01219"/>
    <w:rsid w:val="05A76A4C"/>
    <w:rsid w:val="05A84572"/>
    <w:rsid w:val="05C25634"/>
    <w:rsid w:val="05DE61E6"/>
    <w:rsid w:val="05F17CC7"/>
    <w:rsid w:val="060339E2"/>
    <w:rsid w:val="0822060B"/>
    <w:rsid w:val="08675C53"/>
    <w:rsid w:val="09153CCC"/>
    <w:rsid w:val="09D26061"/>
    <w:rsid w:val="0A530F50"/>
    <w:rsid w:val="0AFF69E2"/>
    <w:rsid w:val="0C711B61"/>
    <w:rsid w:val="0C9D1CF6"/>
    <w:rsid w:val="0D272220"/>
    <w:rsid w:val="0DE46363"/>
    <w:rsid w:val="0EA16002"/>
    <w:rsid w:val="107B7DD9"/>
    <w:rsid w:val="11E701D0"/>
    <w:rsid w:val="11FE6C76"/>
    <w:rsid w:val="1300779B"/>
    <w:rsid w:val="13737F6D"/>
    <w:rsid w:val="13A83431"/>
    <w:rsid w:val="13DC1FB6"/>
    <w:rsid w:val="13EC7D20"/>
    <w:rsid w:val="142B0848"/>
    <w:rsid w:val="16285915"/>
    <w:rsid w:val="177F50ED"/>
    <w:rsid w:val="190873AA"/>
    <w:rsid w:val="1BCD48DA"/>
    <w:rsid w:val="1C7D3C0B"/>
    <w:rsid w:val="1D1D0F4A"/>
    <w:rsid w:val="1D8E3BF5"/>
    <w:rsid w:val="1DBC0763"/>
    <w:rsid w:val="1DF12B02"/>
    <w:rsid w:val="1E0C793C"/>
    <w:rsid w:val="1E285DF8"/>
    <w:rsid w:val="205E01F7"/>
    <w:rsid w:val="20AF45AF"/>
    <w:rsid w:val="211F34E2"/>
    <w:rsid w:val="22DD4B35"/>
    <w:rsid w:val="236C49D9"/>
    <w:rsid w:val="238E0DF3"/>
    <w:rsid w:val="2398757C"/>
    <w:rsid w:val="23E427C1"/>
    <w:rsid w:val="24294678"/>
    <w:rsid w:val="24CC3981"/>
    <w:rsid w:val="25905C24"/>
    <w:rsid w:val="2613738E"/>
    <w:rsid w:val="266F09F2"/>
    <w:rsid w:val="28FB5E8C"/>
    <w:rsid w:val="290A0F1C"/>
    <w:rsid w:val="29C76E0D"/>
    <w:rsid w:val="2A77438F"/>
    <w:rsid w:val="2AD0584D"/>
    <w:rsid w:val="2AFC4894"/>
    <w:rsid w:val="2B02634F"/>
    <w:rsid w:val="2C4B7881"/>
    <w:rsid w:val="2CCB6C14"/>
    <w:rsid w:val="2ED3590C"/>
    <w:rsid w:val="2F283EAA"/>
    <w:rsid w:val="30AE03DF"/>
    <w:rsid w:val="30BA3228"/>
    <w:rsid w:val="313C3C3D"/>
    <w:rsid w:val="31CA53A3"/>
    <w:rsid w:val="32676A97"/>
    <w:rsid w:val="32933D30"/>
    <w:rsid w:val="340B378E"/>
    <w:rsid w:val="347D6A46"/>
    <w:rsid w:val="35134CB4"/>
    <w:rsid w:val="36CA5847"/>
    <w:rsid w:val="37156BFF"/>
    <w:rsid w:val="37AE6F16"/>
    <w:rsid w:val="382B0567"/>
    <w:rsid w:val="384F0C8B"/>
    <w:rsid w:val="391A7C46"/>
    <w:rsid w:val="39974106"/>
    <w:rsid w:val="3A2D4A6A"/>
    <w:rsid w:val="3B007A89"/>
    <w:rsid w:val="3B1108A1"/>
    <w:rsid w:val="3B8406BA"/>
    <w:rsid w:val="3BE87C73"/>
    <w:rsid w:val="3C59513B"/>
    <w:rsid w:val="3D001FC2"/>
    <w:rsid w:val="3F620D12"/>
    <w:rsid w:val="3F9966FE"/>
    <w:rsid w:val="40A37834"/>
    <w:rsid w:val="41175B2C"/>
    <w:rsid w:val="41715709"/>
    <w:rsid w:val="41A73354"/>
    <w:rsid w:val="41AC44C7"/>
    <w:rsid w:val="41B617E9"/>
    <w:rsid w:val="4313024E"/>
    <w:rsid w:val="434A3F97"/>
    <w:rsid w:val="43515C53"/>
    <w:rsid w:val="438751EB"/>
    <w:rsid w:val="43F263DD"/>
    <w:rsid w:val="44A27E03"/>
    <w:rsid w:val="452A1956"/>
    <w:rsid w:val="454B2248"/>
    <w:rsid w:val="45570BED"/>
    <w:rsid w:val="45F75F2C"/>
    <w:rsid w:val="478A0E65"/>
    <w:rsid w:val="47C87B80"/>
    <w:rsid w:val="486F26F2"/>
    <w:rsid w:val="49BE56DF"/>
    <w:rsid w:val="49D40A5E"/>
    <w:rsid w:val="49D553A2"/>
    <w:rsid w:val="4A34774F"/>
    <w:rsid w:val="4B0D06CC"/>
    <w:rsid w:val="4BBA1ED6"/>
    <w:rsid w:val="4C5E5F51"/>
    <w:rsid w:val="4C7316F9"/>
    <w:rsid w:val="4D782049"/>
    <w:rsid w:val="4E437F61"/>
    <w:rsid w:val="4EDE5EDB"/>
    <w:rsid w:val="515B3813"/>
    <w:rsid w:val="51EA5E66"/>
    <w:rsid w:val="52426781"/>
    <w:rsid w:val="52EB0BC7"/>
    <w:rsid w:val="53071EA5"/>
    <w:rsid w:val="53B52B8D"/>
    <w:rsid w:val="53C102A5"/>
    <w:rsid w:val="546B0211"/>
    <w:rsid w:val="54E81862"/>
    <w:rsid w:val="55825812"/>
    <w:rsid w:val="55CB540B"/>
    <w:rsid w:val="56220DA3"/>
    <w:rsid w:val="577446EC"/>
    <w:rsid w:val="58627B7D"/>
    <w:rsid w:val="586438F5"/>
    <w:rsid w:val="58690F0C"/>
    <w:rsid w:val="592B61C1"/>
    <w:rsid w:val="596D2336"/>
    <w:rsid w:val="59965D30"/>
    <w:rsid w:val="59DF76D7"/>
    <w:rsid w:val="5A3D7F5A"/>
    <w:rsid w:val="5AC82124"/>
    <w:rsid w:val="5B2E3D47"/>
    <w:rsid w:val="5BCD17B1"/>
    <w:rsid w:val="5BF139CD"/>
    <w:rsid w:val="5DF66D9E"/>
    <w:rsid w:val="5E4C10B3"/>
    <w:rsid w:val="5EF3152F"/>
    <w:rsid w:val="5F555D46"/>
    <w:rsid w:val="60AA6448"/>
    <w:rsid w:val="60C34F31"/>
    <w:rsid w:val="62393CC5"/>
    <w:rsid w:val="62DD052C"/>
    <w:rsid w:val="631101D6"/>
    <w:rsid w:val="63E02704"/>
    <w:rsid w:val="647D3AD4"/>
    <w:rsid w:val="64A37F8A"/>
    <w:rsid w:val="65363F24"/>
    <w:rsid w:val="66D24120"/>
    <w:rsid w:val="682E35D8"/>
    <w:rsid w:val="683A1F7D"/>
    <w:rsid w:val="688B4586"/>
    <w:rsid w:val="68FC7232"/>
    <w:rsid w:val="693B5FAC"/>
    <w:rsid w:val="69FD14B4"/>
    <w:rsid w:val="6AE82164"/>
    <w:rsid w:val="6B036F9E"/>
    <w:rsid w:val="6B882FFF"/>
    <w:rsid w:val="6BFF59B7"/>
    <w:rsid w:val="6C661592"/>
    <w:rsid w:val="6DCD73EF"/>
    <w:rsid w:val="6E470F4F"/>
    <w:rsid w:val="6E4A1121"/>
    <w:rsid w:val="6E9F0D8B"/>
    <w:rsid w:val="6ED924EF"/>
    <w:rsid w:val="6F631DB9"/>
    <w:rsid w:val="708A15C7"/>
    <w:rsid w:val="70E64A50"/>
    <w:rsid w:val="70EC5DDE"/>
    <w:rsid w:val="71F92EA9"/>
    <w:rsid w:val="71FE401B"/>
    <w:rsid w:val="72671BC0"/>
    <w:rsid w:val="728C7083"/>
    <w:rsid w:val="74600FBD"/>
    <w:rsid w:val="752C70F1"/>
    <w:rsid w:val="75B82733"/>
    <w:rsid w:val="765C1D5E"/>
    <w:rsid w:val="772E53A2"/>
    <w:rsid w:val="77AF64E3"/>
    <w:rsid w:val="77B35EEF"/>
    <w:rsid w:val="77F79321"/>
    <w:rsid w:val="78DE3669"/>
    <w:rsid w:val="78F63C9E"/>
    <w:rsid w:val="79063685"/>
    <w:rsid w:val="7A0B19CB"/>
    <w:rsid w:val="7ADD22C2"/>
    <w:rsid w:val="7B5C4C35"/>
    <w:rsid w:val="7D20578D"/>
    <w:rsid w:val="7DF9504A"/>
    <w:rsid w:val="7E301A00"/>
    <w:rsid w:val="7E991353"/>
    <w:rsid w:val="7EAF501B"/>
    <w:rsid w:val="7FF16F6D"/>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Body Text"/>
    <w:basedOn w:val="1"/>
    <w:next w:val="1"/>
    <w:qFormat/>
    <w:uiPriority w:val="99"/>
    <w:rPr>
      <w:rFonts w:ascii="宋体" w:hAnsi="宋体"/>
      <w:b/>
      <w:bCs/>
      <w:sz w:val="28"/>
    </w:rPr>
  </w:style>
  <w:style w:type="paragraph" w:styleId="4">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character" w:styleId="7">
    <w:name w:val="Strong"/>
    <w:qFormat/>
    <w:uiPriority w:val="0"/>
    <w:rPr>
      <w:b/>
      <w:bCs/>
    </w:rPr>
  </w:style>
  <w:style w:type="paragraph" w:customStyle="1" w:styleId="8">
    <w:name w:val="null3"/>
    <w:hidden/>
    <w:qFormat/>
    <w:uiPriority w:val="0"/>
    <w:rPr>
      <w:rFonts w:hint="eastAsia" w:asciiTheme="minorHAnsi" w:hAnsiTheme="minorHAnsi" w:eastAsiaTheme="minorEastAsia" w:cstheme="minorBidi"/>
      <w:lang w:val="en-US" w:eastAsia="zh-Hans"/>
    </w:rPr>
  </w:style>
  <w:style w:type="table" w:customStyle="1" w:styleId="9">
    <w:name w:val="网格型1"/>
    <w:basedOn w:val="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Default"/>
    <w:qFormat/>
    <w:uiPriority w:val="0"/>
    <w:pPr>
      <w:widowControl w:val="0"/>
      <w:autoSpaceDE w:val="0"/>
      <w:autoSpaceDN w:val="0"/>
      <w:adjustRightInd w:val="0"/>
    </w:pPr>
    <w:rPr>
      <w:rFonts w:ascii="宋体" w:hAnsi="Calibri"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88</Pages>
  <Words>1934</Words>
  <Characters>2193</Characters>
  <Lines>0</Lines>
  <Paragraphs>0</Paragraphs>
  <TotalTime>116</TotalTime>
  <ScaleCrop>false</ScaleCrop>
  <LinksUpToDate>false</LinksUpToDate>
  <CharactersWithSpaces>2223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平</cp:lastModifiedBy>
  <cp:lastPrinted>2026-07-06T01:14:00Z</cp:lastPrinted>
  <dcterms:modified xsi:type="dcterms:W3CDTF">2026-07-23T00:42:10Z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1DF11BE3B0614F7593793AC4C15C213C_12</vt:lpwstr>
  </property>
  <property fmtid="{D5CDD505-2E9C-101B-9397-08002B2CF9AE}" pid="4" name="KSOTemplateDocerSaveRecord">
    <vt:lpwstr>eyJoZGlkIjoiMjdlODY4MjMwZWVmNzgyY2NiM2UyNDgyNTM0M2NjY2UiLCJ1c2VySWQiOiI5Nzk4MzQ3NjgifQ==</vt:lpwstr>
  </property>
</Properties>
</file>