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BA02">
      <w:pPr>
        <w:spacing w:line="580" w:lineRule="exact"/>
        <w:ind w:right="420" w:right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1：</w:t>
      </w:r>
    </w:p>
    <w:p w14:paraId="022F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/>
          <w:color w:val="000000"/>
          <w:sz w:val="44"/>
          <w:szCs w:val="44"/>
        </w:rPr>
        <w:t>泰宁县</w:t>
      </w:r>
      <w:r>
        <w:rPr>
          <w:rFonts w:hint="eastAsia" w:ascii="方正小标宋简体" w:hAnsi="Arial" w:eastAsia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Arial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Arial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Arial" w:eastAsia="方正小标宋简体"/>
          <w:color w:val="000000"/>
          <w:sz w:val="44"/>
          <w:szCs w:val="44"/>
          <w:lang w:eastAsia="zh-CN"/>
        </w:rPr>
        <w:t>笋竹精深加工</w:t>
      </w:r>
      <w:r>
        <w:rPr>
          <w:rFonts w:hint="eastAsia" w:ascii="方正小标宋简体" w:hAnsi="Arial" w:eastAsia="方正小标宋简体"/>
          <w:color w:val="000000"/>
          <w:sz w:val="44"/>
          <w:szCs w:val="44"/>
        </w:rPr>
        <w:t>专项资金</w:t>
      </w:r>
    </w:p>
    <w:p w14:paraId="5749F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/>
          <w:color w:val="000000"/>
          <w:sz w:val="44"/>
          <w:szCs w:val="44"/>
        </w:rPr>
        <w:t>项目建设补助实施方案</w:t>
      </w:r>
    </w:p>
    <w:p w14:paraId="1AF1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/>
          <w:color w:val="000000"/>
          <w:sz w:val="44"/>
          <w:szCs w:val="44"/>
        </w:rPr>
      </w:pPr>
    </w:p>
    <w:p w14:paraId="683D6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为进一步提升我县笋竹加工水平，促进我县林业产业发展，根据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《福建省财政厅、福建省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年省级财政林业专项资金的通知》(闽财资环指〔202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《福建省财政厅 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关于印发福建省省级以上财政林业相关专项资金管理办法》(闽财资环〔2024〕23号)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要求，经共同审核研究，结合我县笋竹产业发展实际，制定本实施方案。</w:t>
      </w:r>
    </w:p>
    <w:p w14:paraId="7CE80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一、建设内容</w:t>
      </w:r>
    </w:p>
    <w:p w14:paraId="19B2A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根据摸底调查、企业申报，县财政局、自然资源局审核批准，将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福建泰宁诚铭竹业有限公司竹制餐具智能化生产线技改项目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、福建天笙竹木制品有限公司天笙技改项目、泰宁县宇鑫竹木有限公司竹制品精深加工项目、福建泰宁竹圣日用品有限公司竹雪糕棒精益制造项目列为我县202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年竹产业发展专项资金“笋竹精深加工示范项目”建设补助。项目建设时间为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2025年1月1日至2026年6月30日。</w:t>
      </w:r>
    </w:p>
    <w:p w14:paraId="5EC54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二、目标要求</w:t>
      </w:r>
    </w:p>
    <w:p w14:paraId="03078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带动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实现笋竹加工产值增速高于当地同期GDP增速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实现竹业总产值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全县竹农从竹山经营人均收入同比增加1500元以上。</w:t>
      </w:r>
    </w:p>
    <w:p w14:paraId="306AD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三、补助资金安排</w:t>
      </w:r>
    </w:p>
    <w:p w14:paraId="04C1D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《福建省财政厅、福建省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林业局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年省级财政林业专项资金的通知》(闽财资环指〔202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，省级财政下达我县竹产业发展专项资金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主要用于支持我县笋竹精深加工企业</w:t>
      </w: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设备购置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补助。</w:t>
      </w:r>
    </w:p>
    <w:p w14:paraId="7ACE3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default" w:ascii="楷体_GB2312" w:hAnsi="仿宋_GB2312" w:eastAsia="仿宋_GB2312" w:cs="仿宋_GB2312"/>
          <w:b/>
          <w:bCs/>
          <w:color w:val="0000FF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（一）补助企业。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按购置生产加工所需设备的采购金额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不高于30%给予补助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；竹林认证不超过支出经费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50%给予补助。</w:t>
      </w:r>
    </w:p>
    <w:p w14:paraId="0EAF97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福建泰宁诚铭竹业有限公司竹制餐具智能化生产线技改项目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购买Ai智能筷子挑选机、全自动筷子包装机、筷子成型机、智能数控锯、智能磨光机等生产设备。</w:t>
      </w:r>
    </w:p>
    <w:p w14:paraId="48DFD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福建天笙竹木制品有限公司天笙技改项目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引进智能化绑片机、破竹机等生产设备进行智能化改造，有效提高生产效率。并引进新型余热锅炉，有效降低生产成本。</w:t>
      </w:r>
    </w:p>
    <w:p w14:paraId="58420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泰宁县宇鑫竹木有限公司竹制品精深加工项目：购置自动打码垛机、视觉AI评选机、带除尘双电机抛光机等设备。</w:t>
      </w:r>
    </w:p>
    <w:p w14:paraId="1BB3A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福建泰宁竹圣日用品有限公司竹雪糕棒精益制造项目：增加竹雪糕棒成套设备生产线，新采购机器设备：环保吸尘装置、液压智铣机、数控成型机、空气能烘干设备等。</w:t>
      </w:r>
    </w:p>
    <w:p w14:paraId="50BBF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（二）补助资金安排。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列入建设项目资金补助企业，具体补助金额以通过验收的实际投资额折算，建设项目共需补助资金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万元，拟补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实行总量控制，具体补助金额根据实际投资情况进行计算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未按照规定时间完成购置新设备或购置金额不足的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项目，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自然资源局、财政局应及时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将补助资金或结余资金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作出相应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调剂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或变更。</w:t>
      </w:r>
    </w:p>
    <w:p w14:paraId="3B1E7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、项目的组织管理</w:t>
      </w:r>
    </w:p>
    <w:p w14:paraId="7CC05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（一）组织领导。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成立县笋竹精深加工示范项目建设工作小组，由分管的县领导担任组长，县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、财政局主要负责人担任副组长，县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、财政局等相关负责人为成员；工作小组下设办公室，挂靠县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，负责项目规划、实施方案制订、技术指导、总结验收等工作。</w:t>
      </w:r>
    </w:p>
    <w:p w14:paraId="1241C836">
      <w:pPr>
        <w:keepNext w:val="0"/>
        <w:keepLines w:val="0"/>
        <w:pageBreakBefore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Arial" w:eastAsia="仿宋_GB2312"/>
          <w:color w:val="000000"/>
          <w:sz w:val="32"/>
        </w:rPr>
      </w:pPr>
      <w:r>
        <w:rPr>
          <w:rFonts w:hint="eastAsia" w:ascii="仿宋_GB2312" w:hAnsi="Arial" w:eastAsia="仿宋_GB2312"/>
          <w:color w:val="000000"/>
          <w:sz w:val="32"/>
        </w:rPr>
        <w:t>泰宁县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笋竹精深加工示范项目建设</w:t>
      </w:r>
      <w:r>
        <w:rPr>
          <w:rFonts w:hint="eastAsia" w:ascii="仿宋_GB2312" w:hAnsi="Arial" w:eastAsia="仿宋_GB2312"/>
          <w:color w:val="000000"/>
          <w:sz w:val="32"/>
        </w:rPr>
        <w:t>专项资金领导小组，成员名单如下:</w:t>
      </w:r>
    </w:p>
    <w:p w14:paraId="511FBD45">
      <w:pPr>
        <w:keepNext w:val="0"/>
        <w:keepLines w:val="0"/>
        <w:pageBreakBefore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Arial" w:eastAsia="仿宋_GB2312"/>
          <w:color w:val="000000"/>
          <w:sz w:val="32"/>
          <w:lang w:val="en-US" w:eastAsia="zh-CN"/>
        </w:rPr>
      </w:pPr>
      <w:bookmarkStart w:id="2" w:name="OLE_LINK3"/>
      <w:bookmarkStart w:id="3" w:name="OLE_LINK4"/>
      <w:r>
        <w:rPr>
          <w:rFonts w:hint="eastAsia" w:ascii="仿宋_GB2312" w:hAnsi="Arial" w:eastAsia="仿宋_GB2312"/>
          <w:color w:val="000000"/>
          <w:sz w:val="32"/>
        </w:rPr>
        <w:t>组  长</w:t>
      </w:r>
      <w:bookmarkEnd w:id="2"/>
      <w:bookmarkEnd w:id="3"/>
      <w:r>
        <w:rPr>
          <w:rFonts w:hint="eastAsia" w:ascii="仿宋_GB2312" w:hAnsi="Arial" w:eastAsia="仿宋_GB2312"/>
          <w:color w:val="000000"/>
          <w:sz w:val="32"/>
        </w:rPr>
        <w:t>：</w:t>
      </w:r>
      <w:r>
        <w:rPr>
          <w:rFonts w:hint="eastAsia" w:ascii="仿宋_GB2312" w:hAnsi="Arial" w:eastAsia="仿宋_GB2312"/>
          <w:color w:val="000000"/>
          <w:sz w:val="32"/>
          <w:lang w:eastAsia="zh-CN"/>
        </w:rPr>
        <w:t>欧阳彬</w:t>
      </w:r>
      <w:r>
        <w:rPr>
          <w:rFonts w:hint="eastAsia" w:ascii="仿宋_GB2312" w:hAnsi="Arial" w:eastAsia="仿宋_GB2312"/>
          <w:color w:val="000000"/>
          <w:sz w:val="32"/>
        </w:rPr>
        <w:t xml:space="preserve">     县</w:t>
      </w:r>
      <w:r>
        <w:rPr>
          <w:rFonts w:hint="eastAsia" w:ascii="仿宋_GB2312" w:hAnsi="Arial" w:eastAsia="仿宋_GB2312"/>
          <w:color w:val="000000"/>
          <w:sz w:val="32"/>
          <w:lang w:eastAsia="zh-CN"/>
        </w:rPr>
        <w:t>人民</w:t>
      </w:r>
      <w:r>
        <w:rPr>
          <w:rFonts w:hint="eastAsia" w:ascii="仿宋_GB2312" w:hAnsi="Arial" w:eastAsia="仿宋_GB2312"/>
          <w:color w:val="000000"/>
          <w:sz w:val="32"/>
        </w:rPr>
        <w:t>政府</w:t>
      </w:r>
      <w:r>
        <w:rPr>
          <w:rFonts w:hint="eastAsia" w:ascii="仿宋_GB2312" w:hAnsi="Arial" w:eastAsia="仿宋_GB2312"/>
          <w:color w:val="000000"/>
          <w:sz w:val="32"/>
          <w:lang w:eastAsia="zh-CN"/>
        </w:rPr>
        <w:t>党组成员、副县长</w:t>
      </w:r>
    </w:p>
    <w:p w14:paraId="097289E5">
      <w:pPr>
        <w:keepNext w:val="0"/>
        <w:keepLines w:val="0"/>
        <w:pageBreakBefore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Arial" w:eastAsia="仿宋_GB2312"/>
          <w:color w:val="000000"/>
          <w:sz w:val="32"/>
        </w:rPr>
      </w:pPr>
      <w:r>
        <w:rPr>
          <w:rFonts w:hint="eastAsia" w:ascii="仿宋_GB2312" w:hAnsi="Arial" w:eastAsia="仿宋_GB2312"/>
          <w:color w:val="000000"/>
          <w:sz w:val="32"/>
        </w:rPr>
        <w:t>副组长：</w:t>
      </w:r>
      <w:r>
        <w:rPr>
          <w:rFonts w:hint="eastAsia" w:ascii="仿宋_GB2312" w:hAnsi="Arial" w:eastAsia="仿宋_GB2312"/>
          <w:color w:val="000000"/>
          <w:sz w:val="32"/>
          <w:lang w:eastAsia="zh-CN"/>
        </w:rPr>
        <w:t>许世赵</w:t>
      </w:r>
      <w:r>
        <w:rPr>
          <w:rFonts w:hint="eastAsia" w:ascii="仿宋_GB2312" w:hAnsi="Arial" w:eastAsia="仿宋_GB2312"/>
          <w:color w:val="000000"/>
          <w:sz w:val="32"/>
        </w:rPr>
        <w:t xml:space="preserve">    </w:t>
      </w:r>
      <w:r>
        <w:rPr>
          <w:rFonts w:hint="eastAsia" w:ascii="仿宋_GB2312" w:hAnsi="Arial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hAnsi="Arial" w:eastAsia="仿宋_GB2312"/>
          <w:color w:val="000000"/>
          <w:sz w:val="32"/>
        </w:rPr>
        <w:t>县</w:t>
      </w:r>
      <w:r>
        <w:rPr>
          <w:rFonts w:hint="eastAsia" w:ascii="仿宋_GB2312" w:hAnsi="Arial" w:eastAsia="仿宋_GB2312"/>
          <w:color w:val="000000"/>
          <w:sz w:val="32"/>
          <w:lang w:eastAsia="zh-CN"/>
        </w:rPr>
        <w:t>自然资源局</w:t>
      </w:r>
      <w:r>
        <w:rPr>
          <w:rFonts w:hint="eastAsia" w:ascii="仿宋_GB2312" w:hAnsi="Arial" w:eastAsia="仿宋_GB2312"/>
          <w:color w:val="000000"/>
          <w:sz w:val="32"/>
        </w:rPr>
        <w:t>局长</w:t>
      </w:r>
    </w:p>
    <w:p w14:paraId="25894E72">
      <w:pPr>
        <w:keepNext w:val="0"/>
        <w:keepLines w:val="0"/>
        <w:pageBreakBefore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  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许合春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县财政局副局长</w:t>
      </w:r>
    </w:p>
    <w:p w14:paraId="3F97C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黄东麟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林业局局长、自然资源局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副局长</w:t>
      </w:r>
    </w:p>
    <w:p w14:paraId="49622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县财政局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经建股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</w:t>
      </w:r>
    </w:p>
    <w:p w14:paraId="0950C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吴丽丽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计财股负责人</w:t>
      </w:r>
    </w:p>
    <w:p w14:paraId="6EF57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黄忠斌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林业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产业服务中心主任</w:t>
      </w:r>
    </w:p>
    <w:p w14:paraId="53FF1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领导小组下设办公室，办公室设在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自然资源局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泰宁县林业产业服务中心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，办公室负责人：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黄忠斌；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18105063089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9932BD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（二）项目推进。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领导小组不定期对项目建设进行督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，对发现的问题及时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督促整改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，项目工作小组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办公室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全程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跟进项目建设，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确保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按时完成项目建设。</w:t>
      </w:r>
    </w:p>
    <w:p w14:paraId="3FF52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（三）资金管理。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项目建设补助资金实行总量控制，按本实施方案组织实施。严格资金审批、使用、监督等有关财务管理制度，切实加强项目资金使用情况的跟踪管理，管好用好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资金，坚决杜绝将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资金挪作他用。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0B16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C47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FC47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2E0D0F5">
    <w:pPr>
      <w:pStyle w:val="3"/>
      <w:tabs>
        <w:tab w:val="right" w:pos="8820"/>
        <w:tab w:val="clear" w:pos="8306"/>
      </w:tabs>
      <w:ind w:right="210" w:rightChars="100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29CD">
    <w:pPr>
      <w:pStyle w:val="4"/>
      <w:pBdr>
        <w:bottom w:val="none" w:color="auto" w:sz="0" w:space="1"/>
      </w:pBdr>
      <w:jc w:val="both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0DEA"/>
    <w:rsid w:val="169E0DEA"/>
    <w:rsid w:val="23C44815"/>
    <w:rsid w:val="28C04558"/>
    <w:rsid w:val="36206148"/>
    <w:rsid w:val="3CDE448C"/>
    <w:rsid w:val="3E48648D"/>
    <w:rsid w:val="3E5B18CB"/>
    <w:rsid w:val="3EC04716"/>
    <w:rsid w:val="3EE64DA5"/>
    <w:rsid w:val="430E0710"/>
    <w:rsid w:val="491936D5"/>
    <w:rsid w:val="509659B2"/>
    <w:rsid w:val="5625045D"/>
    <w:rsid w:val="57F23E1B"/>
    <w:rsid w:val="5A7D4937"/>
    <w:rsid w:val="630C319F"/>
    <w:rsid w:val="6AE56063"/>
    <w:rsid w:val="6C215D1C"/>
    <w:rsid w:val="718069A8"/>
    <w:rsid w:val="766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</w:pPr>
    <w:rPr>
      <w:rFonts w:ascii="仿宋_GB2312"/>
      <w:sz w:val="30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nnamed1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1498</Words>
  <Characters>1560</Characters>
  <Lines>0</Lines>
  <Paragraphs>0</Paragraphs>
  <TotalTime>1</TotalTime>
  <ScaleCrop>false</ScaleCrop>
  <LinksUpToDate>false</LinksUpToDate>
  <CharactersWithSpaces>1634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2025-11-17T07:52:00Z</dcterms:created>
  <dc:creator>irf</dc:creator>
  <cp:lastModifiedBy>WPS_1538296928</cp:lastModifiedBy>
  <cp:lastPrinted>2025-12-24T03:18:00Z</cp:lastPrinted>
  <dcterms:modified xsi:type="dcterms:W3CDTF">2025-12-29T15:59:18Z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eyJoZGlkIjoiODJmM2EzZTQ0OGFiMTVhMGVlZjY3NzhkZGRmNDNmNTMiLCJ1c2VySWQiOiI0MTE5NzU1NjcifQ==</vt:lpwstr>
  </property>
  <property fmtid="{D5CDD505-2E9C-101B-9397-08002B2CF9AE}" pid="4" name="ICV">
    <vt:lpwstr>8CAC1AB85FF145998263351C3FCF61F0_13</vt:lpwstr>
  </property>
</Properties>
</file>