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70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4" w:rightChars="40"/>
        <w:jc w:val="center"/>
        <w:textAlignment w:val="auto"/>
        <w:rPr>
          <w:rFonts w:hint="eastAsia" w:ascii="宋体" w:hAnsi="宋体" w:eastAsia="宋体" w:cs="宋体"/>
          <w:b/>
          <w:bCs/>
          <w:color w:val="0000FF"/>
          <w:spacing w:val="0"/>
          <w:sz w:val="40"/>
          <w:szCs w:val="40"/>
        </w:rPr>
      </w:pPr>
    </w:p>
    <w:p w14:paraId="0D4B5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4" w:rightChars="4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C122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4" w:rightChars="4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-3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拍卖公告</w:t>
      </w:r>
    </w:p>
    <w:p w14:paraId="12C58AA8">
      <w:pPr>
        <w:spacing w:line="4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184B59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受委托，我司定于202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午1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0时，在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泰宁县行政服务中心四楼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公共资源交易中心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u w:val="none"/>
          <w:lang w:val="en-US" w:eastAsia="zh-CN"/>
        </w:rPr>
        <w:t>交易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大厅举行拍卖会，有关事项公告如下：</w:t>
      </w:r>
    </w:p>
    <w:p w14:paraId="1BEB5B0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拍卖标的：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位于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泰宁县杉城镇南会村熊家栋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泰宁县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水利局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项目剩余砂石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砂石量堆放范围为3个地块，地块总面积为19153㎡，项目总填方量82245.7立方米，其中A地块填方量为29916.9立方米；B地块填方量为30664.8立方米；C地块填方量21664.0立方米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eastAsia="zh-CN"/>
        </w:rPr>
        <w:t>，</w:t>
      </w:r>
      <w:bookmarkStart w:id="0" w:name="_GoBack"/>
      <w:r>
        <w:rPr>
          <w:rFonts w:hint="eastAsia" w:ascii="宋体" w:hAnsi="宋体" w:cs="宋体"/>
          <w:color w:val="FF0000"/>
          <w:sz w:val="32"/>
          <w:szCs w:val="32"/>
          <w:highlight w:val="none"/>
          <w:lang w:val="en-US" w:eastAsia="zh-CN"/>
        </w:rPr>
        <w:t>一起</w:t>
      </w:r>
      <w:r>
        <w:rPr>
          <w:rFonts w:hint="eastAsia" w:ascii="宋体" w:hAnsi="宋体" w:eastAsia="宋体" w:cs="宋体"/>
          <w:color w:val="FF0000"/>
          <w:sz w:val="32"/>
          <w:szCs w:val="32"/>
          <w:highlight w:val="none"/>
        </w:rPr>
        <w:t>拍卖</w:t>
      </w:r>
      <w:bookmarkEnd w:id="0"/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具体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以实物现状为准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）】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/>
        </w:rPr>
        <w:t>有偿出让处置，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采用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公开增价的拍卖方式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处置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214C54A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以上标的缴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纳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拍卖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保证金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人民币70万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元（不计利息）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有意竞买者可于即日起至202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日下午1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: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0 时前携有效证件到本公司办理竞买手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与我司联系获取拍卖出让文件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看标的时间、地点：即日起预约在标的所在地。拍卖地点：</w:t>
      </w:r>
      <w:r>
        <w:rPr>
          <w:rFonts w:hint="eastAsia" w:ascii="宋体" w:hAnsi="宋体" w:eastAsia="宋体" w:cs="宋体"/>
          <w:color w:val="auto"/>
          <w:w w:val="90"/>
          <w:sz w:val="32"/>
          <w:szCs w:val="32"/>
          <w:highlight w:val="none"/>
          <w:u w:val="none"/>
        </w:rPr>
        <w:t>泰宁县</w:t>
      </w:r>
      <w:r>
        <w:rPr>
          <w:rFonts w:hint="eastAsia" w:ascii="宋体" w:hAnsi="宋体" w:eastAsia="宋体" w:cs="宋体"/>
          <w:color w:val="auto"/>
          <w:w w:val="90"/>
          <w:sz w:val="32"/>
          <w:szCs w:val="32"/>
          <w:highlight w:val="none"/>
          <w:u w:val="none"/>
          <w:lang w:val="en-US" w:eastAsia="zh-CN"/>
        </w:rPr>
        <w:t>行政服务中心四楼公共交易厅，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报名地址：泰宁县县政府楼下25-9号店（尚书古城房产公司）。报名咨询电话：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13860563383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（江先生）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195EAC29">
      <w:pPr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2F2F2F"/>
          <w:sz w:val="32"/>
          <w:szCs w:val="32"/>
        </w:rPr>
      </w:pPr>
    </w:p>
    <w:p w14:paraId="066F26D5">
      <w:pPr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宋体" w:hAnsi="宋体" w:eastAsia="宋体" w:cs="宋体"/>
          <w:color w:val="2F2F2F"/>
          <w:sz w:val="32"/>
          <w:szCs w:val="32"/>
        </w:rPr>
      </w:pPr>
      <w:r>
        <w:rPr>
          <w:rFonts w:hint="eastAsia" w:ascii="宋体" w:hAnsi="宋体" w:eastAsia="宋体" w:cs="宋体"/>
          <w:color w:val="2F2F2F"/>
          <w:sz w:val="32"/>
          <w:szCs w:val="32"/>
        </w:rPr>
        <w:t>特此公告。</w:t>
      </w:r>
    </w:p>
    <w:p w14:paraId="20798F5D">
      <w:pPr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宋体" w:hAnsi="宋体" w:eastAsia="宋体" w:cs="宋体"/>
          <w:color w:val="2F2F2F"/>
          <w:sz w:val="32"/>
          <w:szCs w:val="32"/>
        </w:rPr>
      </w:pPr>
    </w:p>
    <w:p w14:paraId="4C0DBB88">
      <w:pPr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宋体" w:hAnsi="宋体" w:eastAsia="宋体" w:cs="宋体"/>
          <w:color w:val="2F2F2F"/>
          <w:sz w:val="32"/>
          <w:szCs w:val="32"/>
        </w:rPr>
      </w:pPr>
    </w:p>
    <w:p w14:paraId="110CDDA3">
      <w:pPr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宋体" w:hAnsi="宋体" w:eastAsia="宋体" w:cs="宋体"/>
          <w:color w:val="2F2F2F"/>
          <w:sz w:val="32"/>
          <w:szCs w:val="32"/>
        </w:rPr>
      </w:pPr>
    </w:p>
    <w:p w14:paraId="732265F3">
      <w:pPr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0" w:firstLineChars="20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福建运通拍卖行有限公司</w:t>
      </w:r>
    </w:p>
    <w:p w14:paraId="29680CFA">
      <w:pPr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480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567" w:right="794" w:bottom="510" w:left="85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二0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二五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六月十一日</w:t>
      </w:r>
    </w:p>
    <w:p w14:paraId="7A7F51CB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B98F">
    <w:pPr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2942C">
    <w:pPr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CAA3D"/>
    <w:multiLevelType w:val="singleLevel"/>
    <w:tmpl w:val="DFDCAA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F6033"/>
    <w:rsid w:val="00AB1117"/>
    <w:rsid w:val="0FC1439E"/>
    <w:rsid w:val="208F6033"/>
    <w:rsid w:val="22EB174A"/>
    <w:rsid w:val="29227097"/>
    <w:rsid w:val="349818E4"/>
    <w:rsid w:val="37B14828"/>
    <w:rsid w:val="3BF6735D"/>
    <w:rsid w:val="786E2800"/>
    <w:rsid w:val="7BE3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440</Characters>
  <Lines>0</Lines>
  <Paragraphs>0</Paragraphs>
  <TotalTime>2</TotalTime>
  <ScaleCrop>false</ScaleCrop>
  <LinksUpToDate>false</LinksUpToDate>
  <CharactersWithSpaces>483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2025-06-03T03:00:00Z</dcterms:created>
  <dc:creator>大金湖 健</dc:creator>
  <cp:lastModifiedBy>夏荣辉</cp:lastModifiedBy>
  <dcterms:modified xsi:type="dcterms:W3CDTF">2025-06-10T11:51:09Z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0CA191636E964BD180BD72D0C3FB248B_11</vt:lpwstr>
  </property>
  <property fmtid="{D5CDD505-2E9C-101B-9397-08002B2CF9AE}" pid="4" name="KSOTemplateDocerSaveRecord">
    <vt:lpwstr>eyJoZGlkIjoiNTRjMzcwM2E2ODIzNGFlMmE4OTIxZTg1ZjZiZTUxNTgiLCJ1c2VySWQiOiIxNDU1NzMxNTAxIn0=</vt:lpwstr>
  </property>
</Properties>
</file>