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9409E"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8"/>
          <w:szCs w:val="48"/>
          <w:lang w:val="en-US" w:eastAsia="zh-CN" w:bidi="ar"/>
        </w:rPr>
        <w:t>泰宁县城乡建设和</w:t>
      </w:r>
      <w:r>
        <w:rPr>
          <w:rFonts w:hint="eastAsia" w:asciiTheme="majorEastAsia" w:hAnsiTheme="majorEastAsia" w:eastAsiaTheme="majorEastAsia" w:cstheme="majorEastAsia"/>
          <w:b/>
          <w:bCs/>
          <w:kern w:val="0"/>
          <w:sz w:val="48"/>
          <w:szCs w:val="48"/>
          <w:lang w:val="en-US" w:eastAsia="zh-CN" w:bidi="ar"/>
        </w:rPr>
        <w:t>交通运输局关于老旧营运货车报废更新补贴的公告</w:t>
      </w:r>
    </w:p>
    <w:p w14:paraId="7C6CF5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/>
        <w:ind w:left="0" w:right="0" w:firstLine="420"/>
        <w:rPr>
          <w:bdr w:val="none" w:color="auto" w:sz="0" w:space="0"/>
        </w:rPr>
      </w:pPr>
    </w:p>
    <w:p w14:paraId="3979DB1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</w:pPr>
      <w:r>
        <w:rPr>
          <w:bdr w:val="none" w:color="auto" w:sz="0" w:space="0"/>
        </w:rPr>
        <w:t>根据《交通运输部 国家发展改革委 财政部关于实施老旧营运货车报废更新的通知》（交规划发〔2025〕17号）、《交通运输部办公厅 国家发展改革委办公厅 公安部办公厅 财政部办公厅 商务部办公厅关于印发2025年老旧营运货车报废更新工作实施细则的通知》（交办运〔2025〕12号）和《福建省发展和改革委员会 福建省财政厅关于2025年加力扩围实施大规模设备更新和消费品以旧换新的通知》（闽发改规〔2025〕1号）等文件要求，现对道路货物运输经营者提前报废国四及以下排放标准营运货车、提前报废并新购国六排放标准货车或新能源货车、仅新购符合条件的新能源货车，实施差别化补贴。已获得中央其他资金渠道支持的车辆，不纳入本次补贴资金支持范围。</w:t>
      </w:r>
    </w:p>
    <w:p w14:paraId="51FE12C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</w:pPr>
      <w:r>
        <w:rPr>
          <w:b/>
          <w:bCs/>
          <w:bdr w:val="none" w:color="auto" w:sz="0" w:space="0"/>
        </w:rPr>
        <w:t>一、补贴范围和标准</w:t>
      </w:r>
    </w:p>
    <w:p w14:paraId="50B2E91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</w:pPr>
      <w:r>
        <w:rPr>
          <w:bdr w:val="none" w:color="auto" w:sz="0" w:space="0"/>
        </w:rPr>
        <w:t>1.老旧营运货车报废更新补贴时间自2025年1月1日至2025年12月31日（报废货车《报废机动车回收证明》《机动车注销证明》日期、新购置货车《机动车行驶证》注册登记日期和《道路运输证》发放日期均应在政策实施期内）。</w:t>
      </w:r>
    </w:p>
    <w:p w14:paraId="183B113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</w:pPr>
      <w:r>
        <w:rPr>
          <w:bdr w:val="none" w:color="auto" w:sz="0" w:space="0"/>
        </w:rPr>
        <w:t>2.国四及以下排放标准中型、重型营运货车。</w:t>
      </w:r>
    </w:p>
    <w:p w14:paraId="71E4D9E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</w:pPr>
      <w:r>
        <w:rPr>
          <w:bdr w:val="none" w:color="auto" w:sz="0" w:space="0"/>
        </w:rPr>
        <w:t>3.提交材料：持有公安机关开具的《机动车注销证明》和具有资质的报废机动车回收拆解企业开具的《报废机动车回收证明》，及车辆注销前，交通运输主管部门发放的有效《道路运输证》，新购置车辆（国六排放标准或新能源车辆）注册登记所有人身份证或营业执照，新购货车还需《机动车行驶证》、《道路运输证》，所有材料发放日期均应在政策实施期内。</w:t>
      </w:r>
    </w:p>
    <w:p w14:paraId="38DAC99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</w:pPr>
      <w:r>
        <w:rPr>
          <w:b/>
          <w:bCs/>
          <w:bdr w:val="none" w:color="auto" w:sz="0" w:space="0"/>
        </w:rPr>
        <w:t>二、补贴金额</w:t>
      </w:r>
    </w:p>
    <w:p w14:paraId="414C31B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</w:pPr>
      <w:r>
        <w:rPr>
          <w:bdr w:val="none" w:color="auto" w:sz="0" w:space="0"/>
        </w:rPr>
        <w:t>1.提前报废老旧营运货车补贴标准见表1。</w:t>
      </w:r>
    </w:p>
    <w:p w14:paraId="699803A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</w:pPr>
      <w:r>
        <w:rPr>
          <w:bdr w:val="none" w:color="auto" w:sz="0" w:space="0"/>
        </w:rPr>
        <w:t>2.提前报废老旧营运货车，并新购营运货车补贴标准按以下方法计算：</w:t>
      </w:r>
    </w:p>
    <w:p w14:paraId="2166DD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</w:pPr>
      <w:r>
        <w:rPr>
          <w:bdr w:val="none" w:color="auto" w:sz="0" w:space="0"/>
        </w:rPr>
        <w:t>报废并新购国六排放标准营运货车补贴=提前报废老旧营运货车补贴+新购国六排放标准营运货车补贴</w:t>
      </w:r>
    </w:p>
    <w:p w14:paraId="2EB6FAB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</w:pPr>
      <w:r>
        <w:rPr>
          <w:bdr w:val="none" w:color="auto" w:sz="0" w:space="0"/>
        </w:rPr>
        <w:t>报废并新购新能源货车补贴=提前报废老旧营运货车补贴+新购新能源营运货车补贴</w:t>
      </w:r>
    </w:p>
    <w:p w14:paraId="485202E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  <w:rPr>
          <w:rFonts w:hint="default" w:eastAsiaTheme="minorEastAsia"/>
          <w:lang w:val="en-US" w:eastAsia="zh-CN"/>
        </w:rPr>
      </w:pPr>
      <w:r>
        <w:rPr>
          <w:bdr w:val="none" w:color="auto" w:sz="0" w:space="0"/>
        </w:rPr>
        <w:t>其中，新购国六排放标准营运货车或新能源营运货车补贴标准见表2。</w:t>
      </w:r>
      <w:r>
        <w:t>报废老旧营运货车</w:t>
      </w:r>
      <w:r>
        <w:rPr>
          <w:rFonts w:hint="eastAsia"/>
          <w:lang w:eastAsia="zh-CN"/>
        </w:rPr>
        <w:t>提前报废时间不足</w:t>
      </w:r>
      <w:r>
        <w:rPr>
          <w:rFonts w:hint="eastAsia"/>
          <w:lang w:val="en-US" w:eastAsia="zh-CN"/>
        </w:rPr>
        <w:t>1年的，可以申请新购营运货车补贴。</w:t>
      </w:r>
    </w:p>
    <w:p w14:paraId="615443D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</w:pPr>
      <w:r>
        <w:rPr>
          <w:bdr w:val="none" w:color="auto" w:sz="0" w:space="0"/>
        </w:rPr>
        <w:t>3.仅新购新能源城市冷链配送货车补贴标准为3.5万元/辆。</w:t>
      </w:r>
    </w:p>
    <w:p w14:paraId="6B4B0B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ascii="Times New Roman" w:hAnsi="Times New Roman" w:eastAsia="黑体"/>
          <w:color w:val="auto"/>
          <w:sz w:val="28"/>
          <w:szCs w:val="28"/>
        </w:rPr>
        <w:t>表1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提前报废老旧营运货车补贴标准</w:t>
      </w:r>
    </w:p>
    <w:tbl>
      <w:tblPr>
        <w:tblStyle w:val="3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3650"/>
        <w:gridCol w:w="3097"/>
      </w:tblGrid>
      <w:tr w14:paraId="7524B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B4F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车辆类型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62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提前报废时间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1C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补贴标准（万元/辆）</w:t>
            </w:r>
          </w:p>
        </w:tc>
      </w:tr>
      <w:tr w14:paraId="6474D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62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中型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6C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满1年（含）不足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2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年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45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auto"/>
                <w:kern w:val="0"/>
                <w:sz w:val="22"/>
                <w:lang w:bidi="ar"/>
              </w:rPr>
              <w:t>1.0</w:t>
            </w:r>
          </w:p>
        </w:tc>
      </w:tr>
      <w:tr w14:paraId="72AD0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0E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DA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满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2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年（含）不足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4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年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97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auto"/>
                <w:kern w:val="0"/>
                <w:sz w:val="22"/>
                <w:lang w:bidi="ar"/>
              </w:rPr>
              <w:t>1.8</w:t>
            </w:r>
          </w:p>
        </w:tc>
      </w:tr>
      <w:tr w14:paraId="1E445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B7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8F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满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4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年（含）以上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2C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auto"/>
                <w:kern w:val="0"/>
                <w:sz w:val="22"/>
                <w:lang w:bidi="ar"/>
              </w:rPr>
              <w:t>2.5</w:t>
            </w:r>
          </w:p>
        </w:tc>
      </w:tr>
      <w:tr w14:paraId="12AD64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0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B2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重型</w:t>
            </w: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60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满1年（含）不足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2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年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42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等线"/>
                <w:color w:val="auto"/>
                <w:kern w:val="0"/>
                <w:sz w:val="22"/>
                <w:lang w:bidi="ar"/>
              </w:rPr>
              <w:t>1.2</w:t>
            </w:r>
          </w:p>
        </w:tc>
      </w:tr>
      <w:tr w14:paraId="329F4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BE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87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满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2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年（含）不足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4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年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00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等线"/>
                <w:color w:val="auto"/>
                <w:kern w:val="0"/>
                <w:sz w:val="22"/>
                <w:lang w:bidi="ar"/>
              </w:rPr>
              <w:t>3.5</w:t>
            </w:r>
          </w:p>
        </w:tc>
      </w:tr>
      <w:tr w14:paraId="3395E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13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</w:p>
        </w:tc>
        <w:tc>
          <w:tcPr>
            <w:tcW w:w="2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53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满</w:t>
            </w:r>
            <w:r>
              <w:rPr>
                <w:rFonts w:hint="eastAsia" w:ascii="Times New Roman" w:hAnsi="Times New Roman" w:eastAsia="仿宋"/>
                <w:color w:val="auto"/>
                <w:kern w:val="0"/>
                <w:sz w:val="24"/>
              </w:rPr>
              <w:t>4</w:t>
            </w:r>
            <w:r>
              <w:rPr>
                <w:rFonts w:ascii="Times New Roman" w:hAnsi="Times New Roman" w:eastAsia="仿宋"/>
                <w:color w:val="auto"/>
                <w:kern w:val="0"/>
                <w:sz w:val="24"/>
              </w:rPr>
              <w:t>年（含）以上</w:t>
            </w:r>
          </w:p>
        </w:tc>
        <w:tc>
          <w:tcPr>
            <w:tcW w:w="1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88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等线"/>
                <w:color w:val="auto"/>
                <w:kern w:val="0"/>
                <w:sz w:val="22"/>
                <w:lang w:bidi="ar"/>
              </w:rPr>
              <w:t>4.5</w:t>
            </w:r>
          </w:p>
        </w:tc>
      </w:tr>
    </w:tbl>
    <w:p w14:paraId="3F170C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Times New Roman" w:hAnsi="Times New Roman" w:eastAsia="黑体"/>
          <w:color w:val="auto"/>
          <w:sz w:val="28"/>
          <w:szCs w:val="28"/>
        </w:rPr>
      </w:pPr>
      <w:r>
        <w:rPr>
          <w:rFonts w:ascii="Times New Roman" w:hAnsi="Times New Roman" w:eastAsia="黑体"/>
          <w:color w:val="auto"/>
          <w:sz w:val="28"/>
          <w:szCs w:val="28"/>
        </w:rPr>
        <w:t>表2</w:t>
      </w:r>
      <w:r>
        <w:rPr>
          <w:rFonts w:hint="eastAsia" w:ascii="Times New Roman" w:hAnsi="Times New Roman" w:eastAsia="黑体"/>
          <w:color w:val="auto"/>
          <w:sz w:val="28"/>
          <w:szCs w:val="28"/>
        </w:rPr>
        <w:t>新购营运货车补贴标准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501"/>
        <w:gridCol w:w="3599"/>
        <w:gridCol w:w="2720"/>
      </w:tblGrid>
      <w:tr w14:paraId="1FEE1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pct"/>
            <w:gridSpan w:val="2"/>
            <w:noWrap w:val="0"/>
            <w:vAlign w:val="center"/>
          </w:tcPr>
          <w:p w14:paraId="654E3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车辆类型</w:t>
            </w:r>
          </w:p>
        </w:tc>
        <w:tc>
          <w:tcPr>
            <w:tcW w:w="2112" w:type="pct"/>
            <w:noWrap w:val="0"/>
            <w:vAlign w:val="center"/>
          </w:tcPr>
          <w:p w14:paraId="66B25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新购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国六排放标准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营运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货车补贴标准（万元/辆）</w:t>
            </w:r>
          </w:p>
        </w:tc>
        <w:tc>
          <w:tcPr>
            <w:tcW w:w="1596" w:type="pct"/>
            <w:noWrap w:val="0"/>
            <w:vAlign w:val="center"/>
          </w:tcPr>
          <w:p w14:paraId="181B4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新购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新能源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营运</w:t>
            </w: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货车补贴标准（万元/辆）</w:t>
            </w:r>
          </w:p>
        </w:tc>
      </w:tr>
      <w:tr w14:paraId="0D6B2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pct"/>
            <w:gridSpan w:val="2"/>
            <w:noWrap w:val="0"/>
            <w:vAlign w:val="center"/>
          </w:tcPr>
          <w:p w14:paraId="052D7D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中型</w:t>
            </w:r>
          </w:p>
        </w:tc>
        <w:tc>
          <w:tcPr>
            <w:tcW w:w="2112" w:type="pct"/>
            <w:noWrap w:val="0"/>
            <w:vAlign w:val="center"/>
          </w:tcPr>
          <w:p w14:paraId="00448D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2.5</w:t>
            </w:r>
          </w:p>
        </w:tc>
        <w:tc>
          <w:tcPr>
            <w:tcW w:w="1596" w:type="pct"/>
            <w:noWrap w:val="0"/>
            <w:vAlign w:val="center"/>
          </w:tcPr>
          <w:p w14:paraId="1A38A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3.5</w:t>
            </w:r>
          </w:p>
        </w:tc>
      </w:tr>
      <w:tr w14:paraId="102BC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Merge w:val="restart"/>
            <w:noWrap w:val="0"/>
            <w:vAlign w:val="center"/>
          </w:tcPr>
          <w:p w14:paraId="7BEBA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重型</w:t>
            </w:r>
          </w:p>
        </w:tc>
        <w:tc>
          <w:tcPr>
            <w:tcW w:w="880" w:type="pct"/>
            <w:noWrap w:val="0"/>
            <w:vAlign w:val="center"/>
          </w:tcPr>
          <w:p w14:paraId="178C87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2轴</w:t>
            </w:r>
          </w:p>
        </w:tc>
        <w:tc>
          <w:tcPr>
            <w:tcW w:w="2112" w:type="pct"/>
            <w:noWrap w:val="0"/>
            <w:vAlign w:val="center"/>
          </w:tcPr>
          <w:p w14:paraId="633DD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4.0</w:t>
            </w:r>
          </w:p>
        </w:tc>
        <w:tc>
          <w:tcPr>
            <w:tcW w:w="1596" w:type="pct"/>
            <w:noWrap w:val="0"/>
            <w:vAlign w:val="center"/>
          </w:tcPr>
          <w:p w14:paraId="310F1A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7.0</w:t>
            </w:r>
          </w:p>
        </w:tc>
      </w:tr>
      <w:tr w14:paraId="43681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Merge w:val="continue"/>
            <w:noWrap w:val="0"/>
            <w:vAlign w:val="center"/>
          </w:tcPr>
          <w:p w14:paraId="77BC0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880" w:type="pct"/>
            <w:noWrap w:val="0"/>
            <w:vAlign w:val="center"/>
          </w:tcPr>
          <w:p w14:paraId="352CB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3轴</w:t>
            </w:r>
          </w:p>
        </w:tc>
        <w:tc>
          <w:tcPr>
            <w:tcW w:w="2112" w:type="pct"/>
            <w:noWrap w:val="0"/>
            <w:vAlign w:val="center"/>
          </w:tcPr>
          <w:p w14:paraId="6F9FB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5.5</w:t>
            </w:r>
          </w:p>
        </w:tc>
        <w:tc>
          <w:tcPr>
            <w:tcW w:w="1596" w:type="pct"/>
            <w:noWrap w:val="0"/>
            <w:vAlign w:val="center"/>
          </w:tcPr>
          <w:p w14:paraId="385CA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8.5</w:t>
            </w:r>
          </w:p>
        </w:tc>
      </w:tr>
      <w:tr w14:paraId="63710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" w:type="pct"/>
            <w:vMerge w:val="continue"/>
            <w:noWrap w:val="0"/>
            <w:vAlign w:val="center"/>
          </w:tcPr>
          <w:p w14:paraId="66D7B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880" w:type="pct"/>
            <w:noWrap w:val="0"/>
            <w:vAlign w:val="center"/>
          </w:tcPr>
          <w:p w14:paraId="6FB8C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4轴及以上</w:t>
            </w:r>
          </w:p>
        </w:tc>
        <w:tc>
          <w:tcPr>
            <w:tcW w:w="2112" w:type="pct"/>
            <w:noWrap w:val="0"/>
            <w:vAlign w:val="center"/>
          </w:tcPr>
          <w:p w14:paraId="43DA4B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6.5</w:t>
            </w:r>
          </w:p>
        </w:tc>
        <w:tc>
          <w:tcPr>
            <w:tcW w:w="1596" w:type="pct"/>
            <w:noWrap w:val="0"/>
            <w:vAlign w:val="center"/>
          </w:tcPr>
          <w:p w14:paraId="4FCF2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0"/>
              </w:rPr>
              <w:t>9.5</w:t>
            </w:r>
          </w:p>
        </w:tc>
      </w:tr>
    </w:tbl>
    <w:p w14:paraId="338CE2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color w:val="auto"/>
          <w:lang w:val="en-US" w:eastAsia="zh-CN"/>
        </w:rPr>
      </w:pPr>
    </w:p>
    <w:p w14:paraId="7DE267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</w:pPr>
    </w:p>
    <w:p w14:paraId="4DAB84B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</w:pPr>
      <w:r>
        <w:rPr>
          <w:b/>
          <w:bCs/>
          <w:bdr w:val="none" w:color="auto" w:sz="0" w:space="0"/>
        </w:rPr>
        <w:t>三、材料递交方式</w:t>
      </w:r>
    </w:p>
    <w:p w14:paraId="0B95E58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textAlignment w:val="auto"/>
      </w:pPr>
      <w:r>
        <w:rPr>
          <w:bdr w:val="none" w:color="auto" w:sz="0" w:space="0"/>
        </w:rPr>
        <w:t>请符合奖补政策企业或个体户于工作日将相关材料提交至</w:t>
      </w:r>
      <w:r>
        <w:rPr>
          <w:rFonts w:hint="eastAsia"/>
          <w:bdr w:val="none" w:color="auto" w:sz="0" w:space="0"/>
          <w:lang w:eastAsia="zh-CN"/>
        </w:rPr>
        <w:t>三明市泰宁县台前路</w:t>
      </w:r>
      <w:r>
        <w:rPr>
          <w:rFonts w:hint="eastAsia"/>
          <w:bdr w:val="none" w:color="auto" w:sz="0" w:space="0"/>
          <w:lang w:val="en-US" w:eastAsia="zh-CN"/>
        </w:rPr>
        <w:t>6</w:t>
      </w:r>
      <w:r>
        <w:rPr>
          <w:bdr w:val="none" w:color="auto" w:sz="0" w:space="0"/>
        </w:rPr>
        <w:t>号</w:t>
      </w:r>
      <w:r>
        <w:rPr>
          <w:rFonts w:hint="eastAsia"/>
          <w:bdr w:val="none" w:color="auto" w:sz="0" w:space="0"/>
          <w:lang w:eastAsia="zh-CN"/>
        </w:rPr>
        <w:t>泰宁县运输发展中心四楼</w:t>
      </w:r>
      <w:r>
        <w:rPr>
          <w:bdr w:val="none" w:color="auto" w:sz="0" w:space="0"/>
        </w:rPr>
        <w:t>，</w:t>
      </w:r>
      <w:r>
        <w:rPr>
          <w:rFonts w:hint="eastAsia"/>
          <w:bdr w:val="none" w:color="auto" w:sz="0" w:space="0"/>
          <w:lang w:eastAsia="zh-CN"/>
        </w:rPr>
        <w:t>联系人：邹开亮，</w:t>
      </w:r>
      <w:bookmarkStart w:id="0" w:name="_GoBack"/>
      <w:bookmarkEnd w:id="0"/>
      <w:r>
        <w:rPr>
          <w:bdr w:val="none" w:color="auto" w:sz="0" w:space="0"/>
        </w:rPr>
        <w:t>联系电话：</w:t>
      </w:r>
      <w:r>
        <w:rPr>
          <w:rFonts w:hint="eastAsia"/>
          <w:bdr w:val="none" w:color="auto" w:sz="0" w:space="0"/>
          <w:lang w:val="en-US" w:eastAsia="zh-CN"/>
        </w:rPr>
        <w:t>13004995399</w:t>
      </w:r>
      <w:r>
        <w:rPr>
          <w:bdr w:val="none" w:color="auto" w:sz="0" w:space="0"/>
        </w:rPr>
        <w:t>。</w:t>
      </w:r>
    </w:p>
    <w:p w14:paraId="64AEA8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D7BC8"/>
    <w:rsid w:val="136571DE"/>
    <w:rsid w:val="33ED7BC8"/>
    <w:rsid w:val="4666290D"/>
    <w:rsid w:val="5B8C6DAF"/>
    <w:rsid w:val="7730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2025-05-15T07:18:00Z</dcterms:created>
  <dc:creator>风雨飘摇</dc:creator>
  <cp:lastModifiedBy>风雨飘摇</cp:lastModifiedBy>
  <dcterms:modified xsi:type="dcterms:W3CDTF">2025-05-15T07:45:22Z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24669D2FE836436BB13FC7BEDD7799D2_11</vt:lpwstr>
  </property>
  <property fmtid="{D5CDD505-2E9C-101B-9397-08002B2CF9AE}" pid="4" name="KSOTemplateDocerSaveRecord">
    <vt:lpwstr>eyJoZGlkIjoiNGVlMjI4MDYyM2RlODdlZDA5NjBjYjUzZjUzNzcyZGQiLCJ1c2VySWQiOiIyNTk5MDkwMTkifQ==</vt:lpwstr>
  </property>
</Properties>
</file>