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229B4">
      <w:pPr>
        <w:spacing w:line="600" w:lineRule="exact"/>
        <w:rPr>
          <w:rFonts w:hint="default" w:ascii="黑体" w:hAnsi="Calibri" w:eastAsia="黑体" w:cs="Times New Roman"/>
          <w:szCs w:val="32"/>
          <w:lang w:val="en-US" w:eastAsia="zh-CN"/>
        </w:rPr>
      </w:pPr>
      <w:r>
        <w:rPr>
          <w:rFonts w:hint="eastAsia" w:ascii="黑体" w:hAnsi="Calibri" w:eastAsia="黑体" w:cs="Times New Roman"/>
          <w:szCs w:val="32"/>
          <w:lang w:eastAsia="zh-CN"/>
        </w:rPr>
        <w:t>附件</w:t>
      </w:r>
      <w:r>
        <w:rPr>
          <w:rFonts w:hint="eastAsia" w:ascii="黑体" w:hAnsi="Calibri" w:eastAsia="黑体" w:cs="Times New Roman"/>
          <w:szCs w:val="32"/>
          <w:lang w:val="en-US" w:eastAsia="zh-CN"/>
        </w:rPr>
        <w:t>2</w:t>
      </w:r>
      <w:bookmarkStart w:id="0" w:name="_GoBack"/>
      <w:bookmarkEnd w:id="0"/>
    </w:p>
    <w:p w14:paraId="2275B478">
      <w:pPr>
        <w:spacing w:line="60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2025</w:t>
      </w:r>
      <w:r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  <w:t>年采购设备计划表</w:t>
      </w:r>
    </w:p>
    <w:p w14:paraId="36CB5A89">
      <w:pPr>
        <w:pStyle w:val="2"/>
        <w:rPr>
          <w:rFonts w:hint="default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公司名称：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463"/>
        <w:gridCol w:w="1675"/>
        <w:gridCol w:w="1675"/>
        <w:gridCol w:w="1725"/>
        <w:gridCol w:w="1661"/>
      </w:tblGrid>
      <w:tr w14:paraId="4D30C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 w14:paraId="571F2710">
            <w:pPr>
              <w:pStyle w:val="3"/>
              <w:ind w:left="0" w:leftChars="0" w:firstLine="0" w:firstLineChars="0"/>
              <w:jc w:val="center"/>
              <w:rPr>
                <w:rFonts w:hint="eastAsia" w:eastAsia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463" w:type="dxa"/>
            <w:noWrap w:val="0"/>
            <w:vAlign w:val="center"/>
          </w:tcPr>
          <w:p w14:paraId="2DB773E4">
            <w:pPr>
              <w:pStyle w:val="3"/>
              <w:ind w:left="0" w:leftChars="0" w:firstLine="0" w:firstLineChars="0"/>
              <w:jc w:val="center"/>
              <w:rPr>
                <w:rFonts w:hint="eastAsia" w:eastAsia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1675" w:type="dxa"/>
            <w:noWrap w:val="0"/>
            <w:vAlign w:val="center"/>
          </w:tcPr>
          <w:p w14:paraId="5B5BC2A5">
            <w:pPr>
              <w:pStyle w:val="3"/>
              <w:ind w:left="0" w:leftChars="0" w:firstLine="0" w:firstLineChars="0"/>
              <w:jc w:val="center"/>
              <w:rPr>
                <w:rFonts w:hint="default" w:eastAsia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型号或规格</w:t>
            </w:r>
          </w:p>
        </w:tc>
        <w:tc>
          <w:tcPr>
            <w:tcW w:w="1675" w:type="dxa"/>
            <w:noWrap w:val="0"/>
            <w:vAlign w:val="center"/>
          </w:tcPr>
          <w:p w14:paraId="292070CD">
            <w:pPr>
              <w:pStyle w:val="3"/>
              <w:ind w:left="0" w:leftChars="0" w:firstLine="0" w:firstLineChars="0"/>
              <w:jc w:val="center"/>
              <w:rPr>
                <w:rFonts w:hint="eastAsia" w:eastAsia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单价（万元）</w:t>
            </w:r>
          </w:p>
        </w:tc>
        <w:tc>
          <w:tcPr>
            <w:tcW w:w="1725" w:type="dxa"/>
            <w:noWrap w:val="0"/>
            <w:vAlign w:val="center"/>
          </w:tcPr>
          <w:p w14:paraId="3289E16A">
            <w:pPr>
              <w:pStyle w:val="3"/>
              <w:ind w:left="0" w:leftChars="0" w:firstLine="0" w:firstLineChars="0"/>
              <w:jc w:val="center"/>
              <w:rPr>
                <w:rFonts w:hint="eastAsia" w:eastAsia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数量（台数）</w:t>
            </w:r>
          </w:p>
        </w:tc>
        <w:tc>
          <w:tcPr>
            <w:tcW w:w="1661" w:type="dxa"/>
            <w:noWrap w:val="0"/>
            <w:vAlign w:val="center"/>
          </w:tcPr>
          <w:p w14:paraId="73AD4DCF">
            <w:pPr>
              <w:pStyle w:val="3"/>
              <w:ind w:left="0" w:leftChars="0" w:firstLine="0" w:firstLineChars="0"/>
              <w:jc w:val="center"/>
              <w:rPr>
                <w:rFonts w:hint="default" w:eastAsia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总价(万元）</w:t>
            </w:r>
          </w:p>
        </w:tc>
      </w:tr>
      <w:tr w14:paraId="16863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top"/>
          </w:tcPr>
          <w:p w14:paraId="62EA571C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3" w:type="dxa"/>
            <w:noWrap w:val="0"/>
            <w:vAlign w:val="top"/>
          </w:tcPr>
          <w:p w14:paraId="1D02EF52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noWrap w:val="0"/>
            <w:vAlign w:val="top"/>
          </w:tcPr>
          <w:p w14:paraId="32200EFF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noWrap w:val="0"/>
            <w:vAlign w:val="top"/>
          </w:tcPr>
          <w:p w14:paraId="7FE33C12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noWrap w:val="0"/>
            <w:vAlign w:val="top"/>
          </w:tcPr>
          <w:p w14:paraId="75BE572D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1" w:type="dxa"/>
            <w:noWrap w:val="0"/>
            <w:vAlign w:val="top"/>
          </w:tcPr>
          <w:p w14:paraId="51A76DFE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  <w:tr w14:paraId="21A6A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top"/>
          </w:tcPr>
          <w:p w14:paraId="77D2C4A9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3" w:type="dxa"/>
            <w:noWrap w:val="0"/>
            <w:vAlign w:val="top"/>
          </w:tcPr>
          <w:p w14:paraId="143EB6C7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noWrap w:val="0"/>
            <w:vAlign w:val="top"/>
          </w:tcPr>
          <w:p w14:paraId="5E457C4A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noWrap w:val="0"/>
            <w:vAlign w:val="top"/>
          </w:tcPr>
          <w:p w14:paraId="2C63F1F3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noWrap w:val="0"/>
            <w:vAlign w:val="top"/>
          </w:tcPr>
          <w:p w14:paraId="3D9B25DE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1" w:type="dxa"/>
            <w:noWrap w:val="0"/>
            <w:vAlign w:val="top"/>
          </w:tcPr>
          <w:p w14:paraId="79BDC09E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  <w:tr w14:paraId="66BCB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top"/>
          </w:tcPr>
          <w:p w14:paraId="046A3ABE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3" w:type="dxa"/>
            <w:noWrap w:val="0"/>
            <w:vAlign w:val="top"/>
          </w:tcPr>
          <w:p w14:paraId="0AA0634E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noWrap w:val="0"/>
            <w:vAlign w:val="top"/>
          </w:tcPr>
          <w:p w14:paraId="7E5A4A85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noWrap w:val="0"/>
            <w:vAlign w:val="top"/>
          </w:tcPr>
          <w:p w14:paraId="4D46B86E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noWrap w:val="0"/>
            <w:vAlign w:val="top"/>
          </w:tcPr>
          <w:p w14:paraId="74CC0841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1" w:type="dxa"/>
            <w:noWrap w:val="0"/>
            <w:vAlign w:val="top"/>
          </w:tcPr>
          <w:p w14:paraId="2EE04D1E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  <w:tr w14:paraId="16B53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top"/>
          </w:tcPr>
          <w:p w14:paraId="3B96DA98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3" w:type="dxa"/>
            <w:noWrap w:val="0"/>
            <w:vAlign w:val="top"/>
          </w:tcPr>
          <w:p w14:paraId="4C8715FD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noWrap w:val="0"/>
            <w:vAlign w:val="top"/>
          </w:tcPr>
          <w:p w14:paraId="77829F16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noWrap w:val="0"/>
            <w:vAlign w:val="top"/>
          </w:tcPr>
          <w:p w14:paraId="2BA3CE0D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noWrap w:val="0"/>
            <w:vAlign w:val="top"/>
          </w:tcPr>
          <w:p w14:paraId="4DE4D9BA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1" w:type="dxa"/>
            <w:noWrap w:val="0"/>
            <w:vAlign w:val="top"/>
          </w:tcPr>
          <w:p w14:paraId="26E586DF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  <w:tr w14:paraId="32A32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top"/>
          </w:tcPr>
          <w:p w14:paraId="23F1F6E1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3" w:type="dxa"/>
            <w:noWrap w:val="0"/>
            <w:vAlign w:val="top"/>
          </w:tcPr>
          <w:p w14:paraId="16C76A0B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noWrap w:val="0"/>
            <w:vAlign w:val="top"/>
          </w:tcPr>
          <w:p w14:paraId="5EF40425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noWrap w:val="0"/>
            <w:vAlign w:val="top"/>
          </w:tcPr>
          <w:p w14:paraId="40ED03B2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noWrap w:val="0"/>
            <w:vAlign w:val="top"/>
          </w:tcPr>
          <w:p w14:paraId="7AD9218E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1" w:type="dxa"/>
            <w:noWrap w:val="0"/>
            <w:vAlign w:val="top"/>
          </w:tcPr>
          <w:p w14:paraId="7959F66B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  <w:tr w14:paraId="54E2D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top"/>
          </w:tcPr>
          <w:p w14:paraId="19DF9C4E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3" w:type="dxa"/>
            <w:noWrap w:val="0"/>
            <w:vAlign w:val="top"/>
          </w:tcPr>
          <w:p w14:paraId="60056630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noWrap w:val="0"/>
            <w:vAlign w:val="top"/>
          </w:tcPr>
          <w:p w14:paraId="1EAA388C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noWrap w:val="0"/>
            <w:vAlign w:val="top"/>
          </w:tcPr>
          <w:p w14:paraId="2CB448D6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noWrap w:val="0"/>
            <w:vAlign w:val="top"/>
          </w:tcPr>
          <w:p w14:paraId="3B9C4B7C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1" w:type="dxa"/>
            <w:noWrap w:val="0"/>
            <w:vAlign w:val="top"/>
          </w:tcPr>
          <w:p w14:paraId="6A3AEA57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  <w:tr w14:paraId="15CE1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top"/>
          </w:tcPr>
          <w:p w14:paraId="6AE81B42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3" w:type="dxa"/>
            <w:noWrap w:val="0"/>
            <w:vAlign w:val="top"/>
          </w:tcPr>
          <w:p w14:paraId="77C0662F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noWrap w:val="0"/>
            <w:vAlign w:val="top"/>
          </w:tcPr>
          <w:p w14:paraId="1639CE24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noWrap w:val="0"/>
            <w:vAlign w:val="top"/>
          </w:tcPr>
          <w:p w14:paraId="77EF71AE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noWrap w:val="0"/>
            <w:vAlign w:val="top"/>
          </w:tcPr>
          <w:p w14:paraId="5D4AD49F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1" w:type="dxa"/>
            <w:noWrap w:val="0"/>
            <w:vAlign w:val="top"/>
          </w:tcPr>
          <w:p w14:paraId="68A9C967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  <w:tr w14:paraId="16ECA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top"/>
          </w:tcPr>
          <w:p w14:paraId="2AE375BE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3" w:type="dxa"/>
            <w:noWrap w:val="0"/>
            <w:vAlign w:val="top"/>
          </w:tcPr>
          <w:p w14:paraId="075BBAD9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noWrap w:val="0"/>
            <w:vAlign w:val="top"/>
          </w:tcPr>
          <w:p w14:paraId="3CB4B68D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noWrap w:val="0"/>
            <w:vAlign w:val="top"/>
          </w:tcPr>
          <w:p w14:paraId="319FB4C5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noWrap w:val="0"/>
            <w:vAlign w:val="top"/>
          </w:tcPr>
          <w:p w14:paraId="0241C6A2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1" w:type="dxa"/>
            <w:noWrap w:val="0"/>
            <w:vAlign w:val="top"/>
          </w:tcPr>
          <w:p w14:paraId="11265214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  <w:tr w14:paraId="6AF54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top"/>
          </w:tcPr>
          <w:p w14:paraId="118D7B46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3" w:type="dxa"/>
            <w:noWrap w:val="0"/>
            <w:vAlign w:val="top"/>
          </w:tcPr>
          <w:p w14:paraId="525261AB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noWrap w:val="0"/>
            <w:vAlign w:val="top"/>
          </w:tcPr>
          <w:p w14:paraId="7ECBFD08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noWrap w:val="0"/>
            <w:vAlign w:val="top"/>
          </w:tcPr>
          <w:p w14:paraId="46099E59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noWrap w:val="0"/>
            <w:vAlign w:val="top"/>
          </w:tcPr>
          <w:p w14:paraId="4881D348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1" w:type="dxa"/>
            <w:noWrap w:val="0"/>
            <w:vAlign w:val="top"/>
          </w:tcPr>
          <w:p w14:paraId="354EDE38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5A0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top"/>
          </w:tcPr>
          <w:p w14:paraId="2B240C07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3" w:type="dxa"/>
            <w:noWrap w:val="0"/>
            <w:vAlign w:val="top"/>
          </w:tcPr>
          <w:p w14:paraId="7DBF159C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noWrap w:val="0"/>
            <w:vAlign w:val="top"/>
          </w:tcPr>
          <w:p w14:paraId="521D4067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noWrap w:val="0"/>
            <w:vAlign w:val="top"/>
          </w:tcPr>
          <w:p w14:paraId="4F8E18B7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noWrap w:val="0"/>
            <w:vAlign w:val="top"/>
          </w:tcPr>
          <w:p w14:paraId="6907C5CE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1" w:type="dxa"/>
            <w:noWrap w:val="0"/>
            <w:vAlign w:val="top"/>
          </w:tcPr>
          <w:p w14:paraId="7AEDF6B6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  <w:tr w14:paraId="4D311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top"/>
          </w:tcPr>
          <w:p w14:paraId="09D49973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3" w:type="dxa"/>
            <w:noWrap w:val="0"/>
            <w:vAlign w:val="top"/>
          </w:tcPr>
          <w:p w14:paraId="4376730B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noWrap w:val="0"/>
            <w:vAlign w:val="top"/>
          </w:tcPr>
          <w:p w14:paraId="1E5A6ADE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noWrap w:val="0"/>
            <w:vAlign w:val="top"/>
          </w:tcPr>
          <w:p w14:paraId="66E3F5AC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noWrap w:val="0"/>
            <w:vAlign w:val="top"/>
          </w:tcPr>
          <w:p w14:paraId="0333DB87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1" w:type="dxa"/>
            <w:noWrap w:val="0"/>
            <w:vAlign w:val="top"/>
          </w:tcPr>
          <w:p w14:paraId="0F2D32BE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  <w:tr w14:paraId="5E0D2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top"/>
          </w:tcPr>
          <w:p w14:paraId="2A3EDA1F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3" w:type="dxa"/>
            <w:noWrap w:val="0"/>
            <w:vAlign w:val="top"/>
          </w:tcPr>
          <w:p w14:paraId="1F7150FA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noWrap w:val="0"/>
            <w:vAlign w:val="top"/>
          </w:tcPr>
          <w:p w14:paraId="547ABCD4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noWrap w:val="0"/>
            <w:vAlign w:val="top"/>
          </w:tcPr>
          <w:p w14:paraId="57D2235F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noWrap w:val="0"/>
            <w:vAlign w:val="top"/>
          </w:tcPr>
          <w:p w14:paraId="6D217839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1" w:type="dxa"/>
            <w:noWrap w:val="0"/>
            <w:vAlign w:val="top"/>
          </w:tcPr>
          <w:p w14:paraId="1F94FC00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  <w:tr w14:paraId="64F54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top"/>
          </w:tcPr>
          <w:p w14:paraId="762E641D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3" w:type="dxa"/>
            <w:noWrap w:val="0"/>
            <w:vAlign w:val="top"/>
          </w:tcPr>
          <w:p w14:paraId="461D2698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noWrap w:val="0"/>
            <w:vAlign w:val="top"/>
          </w:tcPr>
          <w:p w14:paraId="7D6EEF90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noWrap w:val="0"/>
            <w:vAlign w:val="top"/>
          </w:tcPr>
          <w:p w14:paraId="455D8DD7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noWrap w:val="0"/>
            <w:vAlign w:val="top"/>
          </w:tcPr>
          <w:p w14:paraId="2A06B594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1" w:type="dxa"/>
            <w:noWrap w:val="0"/>
            <w:vAlign w:val="top"/>
          </w:tcPr>
          <w:p w14:paraId="7F988E41"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5B551576"/>
    <w:sectPr>
      <w:pgSz w:w="11906" w:h="16838"/>
      <w:pgMar w:top="1984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NmRjMWExZTM3NGY3ODY1ZmM4YmU3YTZkYTEwYjEifQ=="/>
  </w:docVars>
  <w:rsids>
    <w:rsidRoot w:val="078048DE"/>
    <w:rsid w:val="0780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华文仿宋"/>
      <w:sz w:val="30"/>
    </w:rPr>
  </w:style>
  <w:style w:type="paragraph" w:styleId="3">
    <w:name w:val="Body Text Indent"/>
    <w:basedOn w:val="1"/>
    <w:uiPriority w:val="0"/>
    <w:pPr>
      <w:ind w:firstLine="540" w:firstLineChars="257"/>
    </w:pPr>
    <w:rPr>
      <w:rFonts w:eastAsia="宋体"/>
      <w:sz w:val="21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2024-09-11T09:47:00Z</dcterms:created>
  <dc:creator>Administrator</dc:creator>
  <cp:lastModifiedBy>Administrator</cp:lastModifiedBy>
  <dcterms:modified xsi:type="dcterms:W3CDTF">2024-09-11T09:47:37Z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56AF82981A5A4B52928BA57739FEBAA7_11</vt:lpwstr>
  </property>
</Properties>
</file>