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关于泰宁县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促进电子商务产业发展若干措施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拟支持项目名单的公示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28"/>
          <w:szCs w:val="28"/>
        </w:rPr>
        <w:t>泰宁县人民政府关于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促进电子商务产业发展若干措施的</w:t>
      </w:r>
      <w:r>
        <w:rPr>
          <w:rFonts w:hint="eastAsia" w:ascii="仿宋_GB2312" w:hAnsi="仿宋_GB2312" w:eastAsia="仿宋_GB2312" w:cs="仿宋_GB2312"/>
          <w:sz w:val="28"/>
          <w:szCs w:val="28"/>
        </w:rPr>
        <w:t>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28"/>
          <w:szCs w:val="36"/>
        </w:rPr>
        <w:t>泰政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28"/>
          <w:szCs w:val="36"/>
        </w:rPr>
        <w:t>〔20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36"/>
        </w:rPr>
        <w:t>〕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36"/>
        </w:rPr>
        <w:t>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泰宁县工业和信息化局关于做好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促进电子商务产业发展若干措施申报工作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的通知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28"/>
          <w:szCs w:val="36"/>
        </w:rPr>
        <w:t>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工信</w:t>
      </w:r>
      <w:r>
        <w:rPr>
          <w:rFonts w:hint="eastAsia" w:ascii="仿宋_GB2312" w:hAnsi="仿宋_GB2312" w:eastAsia="仿宋_GB2312" w:cs="仿宋_GB2312"/>
          <w:sz w:val="28"/>
          <w:szCs w:val="36"/>
        </w:rPr>
        <w:t>〔20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36"/>
        </w:rPr>
        <w:t>〕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sz w:val="28"/>
          <w:szCs w:val="36"/>
        </w:rPr>
        <w:t>号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文件规定，经项目实施单位申报，县工业和信息化局实地验收，会计师事务所专项审计等流程，现将泰宁县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促进电子商务产业发展若干措施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拟支持项目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名单予以公示。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公示时间：2024年4月17日-2024年4月23日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各有关单位对公示内容如有异议，可于2024年4月23日前将异议材料寄达县工信局。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通讯地址：泰宁县工业和信息化局3楼301室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联系电话：0598-7866156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附件：泰宁县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促进电子商务产业发展若干措施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拟支持项目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040" w:firstLineChars="18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泰宁县工业和信息化局</w:t>
      </w:r>
    </w:p>
    <w:p>
      <w:pPr>
        <w:keepNext w:val="0"/>
        <w:keepLines w:val="0"/>
        <w:widowControl/>
        <w:suppressLineNumbers w:val="0"/>
        <w:ind w:firstLine="5320" w:firstLineChars="19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2024年4月17日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泰宁县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促进电子商务产业发展若干措施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拟支持项目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名单</w:t>
      </w:r>
    </w:p>
    <w:tbl>
      <w:tblPr>
        <w:tblStyle w:val="2"/>
        <w:tblpPr w:leftFromText="180" w:rightFromText="180" w:vertAnchor="text" w:horzAnchor="page" w:tblpXSpec="center" w:tblpY="242"/>
        <w:tblOverlap w:val="never"/>
        <w:tblW w:w="933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4022"/>
        <w:gridCol w:w="3281"/>
        <w:gridCol w:w="15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拟补助资金（万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福建泰宁县璐怡韩网络科技有限公司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快递物流补助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泰宁县为民贸易有限公司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快递物流补助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泰宁县丹青电子商务有限公司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销售额补助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78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7.2536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zJjMmUyYWUzMmU4Y2U1ZWMxNWEyMGNhZjdiZWEifQ=="/>
  </w:docVars>
  <w:rsids>
    <w:rsidRoot w:val="58574BF3"/>
    <w:rsid w:val="00A47E08"/>
    <w:rsid w:val="050A0197"/>
    <w:rsid w:val="0EB0747C"/>
    <w:rsid w:val="11263326"/>
    <w:rsid w:val="15231064"/>
    <w:rsid w:val="244014A7"/>
    <w:rsid w:val="27DB5EE4"/>
    <w:rsid w:val="374D5780"/>
    <w:rsid w:val="37A66DF5"/>
    <w:rsid w:val="39651256"/>
    <w:rsid w:val="3D1F58B1"/>
    <w:rsid w:val="3E5D6FA7"/>
    <w:rsid w:val="4044409A"/>
    <w:rsid w:val="44AB3B90"/>
    <w:rsid w:val="456F4546"/>
    <w:rsid w:val="4582723D"/>
    <w:rsid w:val="47097344"/>
    <w:rsid w:val="4915552F"/>
    <w:rsid w:val="4AD65A22"/>
    <w:rsid w:val="4B85526E"/>
    <w:rsid w:val="525A5C73"/>
    <w:rsid w:val="526C4C0C"/>
    <w:rsid w:val="54780C03"/>
    <w:rsid w:val="561A04B6"/>
    <w:rsid w:val="57AC46B0"/>
    <w:rsid w:val="58574BF3"/>
    <w:rsid w:val="58BF6385"/>
    <w:rsid w:val="5C9D2535"/>
    <w:rsid w:val="5F7727B4"/>
    <w:rsid w:val="62352AEB"/>
    <w:rsid w:val="66184281"/>
    <w:rsid w:val="663532A9"/>
    <w:rsid w:val="6E910875"/>
    <w:rsid w:val="705F1B32"/>
    <w:rsid w:val="718409A6"/>
    <w:rsid w:val="73977C36"/>
    <w:rsid w:val="73F734E4"/>
    <w:rsid w:val="79782BA3"/>
    <w:rsid w:val="7A8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2019-12-30T00:39:00Z</dcterms:created>
  <dc:creator>Ffffffffffffffff</dc:creator>
  <cp:lastModifiedBy>行走丶</cp:lastModifiedBy>
  <dcterms:modified xsi:type="dcterms:W3CDTF">2024-04-17T09:17:06Z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018DA567123E4855B5164BC5332CBFA4_13</vt:lpwstr>
  </property>
</Properties>
</file>