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关于20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一季度经济“开门稳”若干措施</w:t>
      </w:r>
    </w:p>
    <w:p>
      <w:pPr>
        <w:spacing w:line="594" w:lineRule="exact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专项资金补助项目的公示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sz w:val="28"/>
        </w:rPr>
        <w:t xml:space="preserve"> 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根据《泰宁县人民</w:t>
      </w:r>
      <w:bookmarkStart w:id="0" w:name="_GoBack"/>
      <w:bookmarkEnd w:id="0"/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政府办公室关于促进 2023 年一季度经济“开门稳”若干措施的通知》（泰政办发明电〔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2023〕1 号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）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文件精神，通过企业自主申报，相关部门审核确认，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现将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《2023年一季度经济“开门稳”若干措施政策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拟补助表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》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（商贸类）、</w:t>
      </w:r>
      <w:r>
        <w:rPr>
          <w:rFonts w:eastAsia="仿宋_GB2312"/>
          <w:sz w:val="32"/>
          <w:szCs w:val="32"/>
        </w:rPr>
        <w:t>予以公示。如有异议，请自公示之日起</w:t>
      </w: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eastAsia="仿宋_GB2312"/>
          <w:sz w:val="32"/>
          <w:szCs w:val="32"/>
        </w:rPr>
        <w:t>日内向公示机关提出。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</w:rPr>
        <w:t>公示时间：</w:t>
      </w:r>
      <w:r>
        <w:rPr>
          <w:rFonts w:eastAsia="仿宋_GB2312"/>
          <w:sz w:val="32"/>
          <w:szCs w:val="32"/>
          <w:highlight w:val="none"/>
        </w:rPr>
        <w:t>20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eastAsia="仿宋_GB2312"/>
          <w:sz w:val="32"/>
          <w:szCs w:val="32"/>
          <w:highlight w:val="none"/>
        </w:rPr>
        <w:t>日至20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eastAsia="仿宋_GB2312"/>
          <w:sz w:val="32"/>
          <w:szCs w:val="32"/>
          <w:highlight w:val="none"/>
        </w:rPr>
        <w:t xml:space="preserve">日止。 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公示电话：泰宁县</w:t>
      </w:r>
      <w:r>
        <w:rPr>
          <w:rFonts w:hint="eastAsia" w:eastAsia="仿宋_GB2312"/>
          <w:sz w:val="32"/>
          <w:szCs w:val="32"/>
          <w:lang w:eastAsia="zh-CN"/>
        </w:rPr>
        <w:t>工</w:t>
      </w:r>
      <w:r>
        <w:rPr>
          <w:rFonts w:eastAsia="仿宋_GB2312"/>
          <w:sz w:val="32"/>
          <w:szCs w:val="32"/>
        </w:rPr>
        <w:t>信局  78</w:t>
      </w:r>
      <w:r>
        <w:rPr>
          <w:rFonts w:hint="eastAsia" w:eastAsia="仿宋_GB2312"/>
          <w:sz w:val="32"/>
          <w:szCs w:val="32"/>
          <w:lang w:val="en-US" w:eastAsia="zh-CN"/>
        </w:rPr>
        <w:t>66156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</w:p>
    <w:p>
      <w:pPr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泰宁县</w:t>
      </w:r>
      <w:r>
        <w:rPr>
          <w:rFonts w:hint="eastAsia" w:eastAsia="仿宋_GB2312"/>
          <w:sz w:val="32"/>
          <w:szCs w:val="32"/>
          <w:lang w:eastAsia="zh-CN"/>
        </w:rPr>
        <w:t>工业</w:t>
      </w:r>
      <w:r>
        <w:rPr>
          <w:rFonts w:eastAsia="仿宋_GB2312"/>
          <w:sz w:val="32"/>
          <w:szCs w:val="32"/>
        </w:rPr>
        <w:t>和信息化局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ind w:firstLine="6400" w:firstLineChars="2000"/>
        <w:rPr>
          <w:rFonts w:eastAsia="仿宋_GB2312"/>
          <w:sz w:val="32"/>
          <w:szCs w:val="32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4" w:right="1361" w:bottom="1587" w:left="1588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eastAsia="仿宋_GB2312"/>
          <w:sz w:val="32"/>
          <w:szCs w:val="32"/>
          <w:highlight w:val="none"/>
        </w:rPr>
        <w:t>日</w:t>
      </w:r>
    </w:p>
    <w:tbl>
      <w:tblPr>
        <w:tblStyle w:val="6"/>
        <w:tblW w:w="14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730"/>
        <w:gridCol w:w="1950"/>
        <w:gridCol w:w="1275"/>
        <w:gridCol w:w="9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2023年一季度经济“开门稳”若干措施政策拟补助表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补助项目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拟补助金额（万元）</w:t>
            </w:r>
          </w:p>
        </w:tc>
        <w:tc>
          <w:tcPr>
            <w:tcW w:w="9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政策条款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福建省泰宁县乐嘉商贸有限公司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一季度新增限上商贸企业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 大力培育服务业商贸企业。加快摸排筛选一批增长潜力大、竞争力强的成长型企业，形成全县“上限上规”后备企业库及计划表，加大扶持力度，重点跟踪乐嘉超市、华姿酒店、众诚劳务派遣、汉唐韵道文化等入规企业，力争一季度新增限额以上商贸企业和规模以上服务业企业 9 家以上。对一季度新增入规商贸、服务业企业，在兑现现有奖励政策的基础上，再给予住宿、餐饮企业奖励 1 万元一次性奖励，批发、零售及服务业企业奖励2 万元一次性奖励。持续推动制造业企业“主辅分离”，力争一季度引导三晶光电注册一家工贸分离企业。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三明慕唯酒店管理有限公司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福建恒仪新型环保建材有限公司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三明市华姿酒店有限公司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泰宁县镇东置业华兴购物广场有限公司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泰宁县朱口加油站（普通合伙）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福建省泰宁县粮食购销有限责任公司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企业一季度销售额同比增幅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</w:p>
        </w:tc>
        <w:tc>
          <w:tcPr>
            <w:tcW w:w="9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 支持企业做大做强。持续营造第三产业企业营业收入增长点，提升第三产业对经济增长的贡献。一是对符合国家产业政策的限上商贸企业，2023年一季度同期营业额增长20%(含）-25%的，按企业一季度营业额同比增量的 1‰给予奖励；增长 25%(含）-30%的，按企业一季度营业额同比增量的 1.5‰给予奖励；对增长 30%(含）以上的，按企业一季度营业额同比增量的 2‰给予奖励；营业额以应纳税营业额为准。二是对已入规服务业企业，2023 年一季度营业收入同比增长 15%-25%（不含 25%）的给予奖励补助 2000 元/家，同比增长 25%-40%（不含 40%）的给予奖励补助 3000 元/家，同比增长 40%以上的给予奖励补助 5000 元/家。三是全面兑现落实 2022 年度新培育规上服务业企业、限上商贸企业的激励政策。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福建泰宁辰营贸易有限公司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</w:t>
            </w:r>
          </w:p>
        </w:tc>
        <w:tc>
          <w:tcPr>
            <w:tcW w:w="9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泰宁闽江饭店有限公司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9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= sum(D3:D11) \* MERGEFORMAT </w:instrTex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16.74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  <w:tc>
          <w:tcPr>
            <w:tcW w:w="93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headerReference r:id="rId9" w:type="default"/>
      <w:footerReference r:id="rId10" w:type="default"/>
      <w:pgSz w:w="16838" w:h="11906" w:orient="landscape"/>
      <w:pgMar w:top="669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zJjMmUyYWUzMmU4Y2U1ZWMxNWEyMGNhZjdiZWEifQ=="/>
  </w:docVars>
  <w:rsids>
    <w:rsidRoot w:val="00000000"/>
    <w:rsid w:val="06D33870"/>
    <w:rsid w:val="0BDE1C59"/>
    <w:rsid w:val="19397FF2"/>
    <w:rsid w:val="30137C97"/>
    <w:rsid w:val="334B0117"/>
    <w:rsid w:val="4366011F"/>
    <w:rsid w:val="574865E8"/>
    <w:rsid w:val="5CB12E81"/>
    <w:rsid w:val="5FB94250"/>
    <w:rsid w:val="5FD60348"/>
    <w:rsid w:val="5FD635CB"/>
    <w:rsid w:val="6FF3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afterLines="0" w:line="560" w:lineRule="exact"/>
      <w:ind w:firstLine="420" w:firstLineChars="200"/>
    </w:pPr>
    <w:rPr>
      <w:rFonts w:ascii="Arial Narrow" w:hAnsi="Arial Narrow" w:eastAsia="仿宋_GB2312" w:cs="Times New Roman"/>
      <w:sz w:val="32"/>
      <w:szCs w:val="20"/>
    </w:rPr>
  </w:style>
  <w:style w:type="paragraph" w:styleId="3">
    <w:name w:val="Body Text Indent"/>
    <w:basedOn w:val="1"/>
    <w:qFormat/>
    <w:uiPriority w:val="0"/>
    <w:pPr>
      <w:spacing w:line="600" w:lineRule="exact"/>
      <w:ind w:left="-2" w:leftChars="-1" w:firstLine="640" w:firstLineChars="200"/>
    </w:pPr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51"/>
    <w:basedOn w:val="7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1055</Characters>
  <Lines>0</Lines>
  <Paragraphs>0</Paragraphs>
  <TotalTime>2</TotalTime>
  <ScaleCrop>false</ScaleCrop>
  <LinksUpToDate>false</LinksUpToDate>
  <CharactersWithSpaces>1092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2023-05-15T02:15:00Z</dcterms:created>
  <dc:creator>Administrator</dc:creator>
  <cp:lastModifiedBy>行走丶</cp:lastModifiedBy>
  <dcterms:modified xsi:type="dcterms:W3CDTF">2023-06-21T09:43:23Z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C3737500D7B94241BABE4344B8C17F4D_13</vt:lpwstr>
  </property>
</Properties>
</file>