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rPr>
      </w:pPr>
      <w:bookmarkStart w:id="23" w:name="_GoBack"/>
      <w:bookmarkEnd w:id="23"/>
      <w:r>
        <w:rPr>
          <w:rFonts w:hint="eastAsia" w:ascii="黑体" w:hAnsi="黑体" w:eastAsia="黑体" w:cs="黑体"/>
          <w:sz w:val="32"/>
          <w:szCs w:val="40"/>
          <w:lang w:val="en-US" w:eastAsia="zh-CN"/>
        </w:rPr>
        <w:t>泰宁县2022年度迎宾大道两侧地块</w:t>
      </w:r>
    </w:p>
    <w:p>
      <w:pPr>
        <w:jc w:val="center"/>
        <w:rPr>
          <w:rFonts w:hint="eastAsia" w:ascii="黑体" w:hAnsi="黑体" w:eastAsia="黑体" w:cs="黑体"/>
          <w:sz w:val="32"/>
          <w:szCs w:val="40"/>
          <w:lang w:eastAsia="zh-CN"/>
        </w:rPr>
      </w:pPr>
      <w:r>
        <w:rPr>
          <w:rFonts w:hint="eastAsia" w:ascii="黑体" w:hAnsi="黑体" w:eastAsia="黑体" w:cs="黑体"/>
          <w:sz w:val="32"/>
          <w:szCs w:val="40"/>
        </w:rPr>
        <w:t>土地征收成片开发方案</w:t>
      </w:r>
    </w:p>
    <w:p>
      <w:pPr>
        <w:pStyle w:val="4"/>
        <w:spacing w:before="120" w:after="120" w:line="360" w:lineRule="auto"/>
        <w:rPr>
          <w:rFonts w:ascii="Times New Roman" w:hAnsi="Times New Roman" w:eastAsia="黑体" w:cs="Times New Roman"/>
          <w:b w:val="0"/>
          <w:bCs/>
          <w:sz w:val="32"/>
          <w:szCs w:val="32"/>
        </w:rPr>
      </w:pPr>
      <w:bookmarkStart w:id="0" w:name="_Toc32536"/>
      <w:r>
        <w:rPr>
          <w:rFonts w:ascii="Times New Roman" w:hAnsi="Times New Roman" w:eastAsia="黑体" w:cs="Times New Roman"/>
          <w:b w:val="0"/>
          <w:bCs/>
          <w:sz w:val="32"/>
          <w:szCs w:val="32"/>
        </w:rPr>
        <w:t>一、概述</w:t>
      </w:r>
      <w:bookmarkEnd w:id="0"/>
    </w:p>
    <w:p>
      <w:pPr>
        <w:pStyle w:val="5"/>
        <w:spacing w:before="0" w:after="0" w:line="240" w:lineRule="auto"/>
        <w:ind w:firstLine="600" w:firstLineChars="200"/>
        <w:rPr>
          <w:rFonts w:ascii="Times New Roman" w:hAnsi="Times New Roman" w:cs="Times New Roman"/>
          <w:b w:val="0"/>
          <w:bCs/>
          <w:sz w:val="30"/>
          <w:szCs w:val="30"/>
        </w:rPr>
      </w:pPr>
      <w:bookmarkStart w:id="1" w:name="_Toc2058"/>
      <w:r>
        <w:rPr>
          <w:rFonts w:ascii="Times New Roman" w:hAnsi="Times New Roman" w:cs="Times New Roman"/>
          <w:b w:val="0"/>
          <w:bCs/>
          <w:sz w:val="30"/>
          <w:szCs w:val="30"/>
        </w:rPr>
        <w:t>（一）编制背景</w:t>
      </w:r>
      <w:bookmarkEnd w:id="1"/>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本次成片开发项目位于福建省</w:t>
      </w:r>
      <w:r>
        <w:rPr>
          <w:rFonts w:hint="eastAsia" w:ascii="Times New Roman" w:hAnsi="Times New Roman" w:eastAsia="仿宋" w:cs="Times New Roman"/>
          <w:sz w:val="28"/>
          <w:szCs w:val="28"/>
        </w:rPr>
        <w:t>三明市泰宁县杉城镇</w:t>
      </w:r>
      <w:r>
        <w:rPr>
          <w:rFonts w:ascii="Times New Roman" w:hAnsi="Times New Roman" w:eastAsia="仿宋" w:cs="Times New Roman"/>
          <w:sz w:val="28"/>
          <w:szCs w:val="28"/>
        </w:rPr>
        <w:t>，</w:t>
      </w:r>
      <w:r>
        <w:rPr>
          <w:rFonts w:hint="eastAsia" w:ascii="Times New Roman" w:hAnsi="Times New Roman" w:eastAsia="仿宋" w:cs="Times New Roman"/>
          <w:sz w:val="28"/>
          <w:szCs w:val="28"/>
        </w:rPr>
        <w:t>成片开发总</w:t>
      </w:r>
      <w:r>
        <w:rPr>
          <w:rFonts w:ascii="Times New Roman" w:hAnsi="Times New Roman" w:eastAsia="仿宋" w:cs="Times New Roman"/>
          <w:sz w:val="28"/>
          <w:szCs w:val="28"/>
        </w:rPr>
        <w:t>面积</w:t>
      </w:r>
      <w:r>
        <w:rPr>
          <w:rFonts w:hint="eastAsia" w:ascii="Times New Roman" w:hAnsi="Times New Roman" w:eastAsia="仿宋" w:cs="Times New Roman"/>
          <w:sz w:val="28"/>
          <w:szCs w:val="28"/>
          <w:lang w:eastAsia="zh-CN"/>
        </w:rPr>
        <w:t>25.</w:t>
      </w:r>
      <w:r>
        <w:rPr>
          <w:rFonts w:hint="eastAsia" w:ascii="Times New Roman" w:hAnsi="Times New Roman" w:eastAsia="仿宋" w:cs="Times New Roman"/>
          <w:sz w:val="28"/>
          <w:szCs w:val="28"/>
          <w:lang w:val="en-US" w:eastAsia="zh-CN"/>
        </w:rPr>
        <w:t>4236</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。衔接国民经济和社会发展规划、</w:t>
      </w:r>
      <w:r>
        <w:rPr>
          <w:rFonts w:hint="eastAsia" w:ascii="Times New Roman" w:hAnsi="Times New Roman" w:eastAsia="仿宋" w:cs="Times New Roman"/>
          <w:sz w:val="28"/>
          <w:szCs w:val="28"/>
        </w:rPr>
        <w:t>国民经济和社会发展年度计划</w:t>
      </w:r>
      <w:r>
        <w:rPr>
          <w:rFonts w:ascii="Times New Roman" w:hAnsi="Times New Roman" w:eastAsia="仿宋" w:cs="Times New Roman"/>
          <w:sz w:val="28"/>
          <w:szCs w:val="28"/>
        </w:rPr>
        <w:t>、土地利用</w:t>
      </w:r>
      <w:r>
        <w:rPr>
          <w:rFonts w:hint="eastAsia" w:ascii="Times New Roman" w:hAnsi="Times New Roman" w:eastAsia="仿宋" w:cs="Times New Roman"/>
          <w:sz w:val="28"/>
          <w:szCs w:val="28"/>
        </w:rPr>
        <w:t>总体</w:t>
      </w:r>
      <w:r>
        <w:rPr>
          <w:rFonts w:ascii="Times New Roman" w:hAnsi="Times New Roman" w:eastAsia="仿宋" w:cs="Times New Roman"/>
          <w:sz w:val="28"/>
          <w:szCs w:val="28"/>
        </w:rPr>
        <w:t>规划、城市总体规划、控制性详细规划，编制</w:t>
      </w:r>
      <w:r>
        <w:rPr>
          <w:rFonts w:hint="eastAsia" w:ascii="Times New Roman" w:hAnsi="Times New Roman" w:eastAsia="仿宋" w:cs="Times New Roman"/>
          <w:sz w:val="28"/>
          <w:szCs w:val="28"/>
        </w:rPr>
        <w:t>《泰宁县2022年度迎宾大道两侧地块土地征收成片开发方案</w:t>
      </w:r>
      <w:r>
        <w:rPr>
          <w:rFonts w:ascii="Times New Roman" w:hAnsi="Times New Roman" w:eastAsia="仿宋" w:cs="Times New Roman"/>
          <w:sz w:val="28"/>
          <w:szCs w:val="28"/>
        </w:rPr>
        <w:t>》。</w:t>
      </w:r>
    </w:p>
    <w:p>
      <w:pPr>
        <w:pStyle w:val="5"/>
        <w:spacing w:before="0" w:after="0" w:line="240" w:lineRule="auto"/>
        <w:ind w:firstLine="600" w:firstLineChars="200"/>
        <w:rPr>
          <w:rFonts w:ascii="Times New Roman" w:hAnsi="Times New Roman" w:cs="Times New Roman"/>
          <w:b w:val="0"/>
          <w:bCs/>
          <w:sz w:val="30"/>
          <w:szCs w:val="30"/>
        </w:rPr>
      </w:pPr>
      <w:bookmarkStart w:id="2" w:name="_Toc16663"/>
      <w:r>
        <w:rPr>
          <w:rFonts w:ascii="Times New Roman" w:hAnsi="Times New Roman" w:cs="Times New Roman"/>
          <w:b w:val="0"/>
          <w:bCs/>
          <w:sz w:val="30"/>
          <w:szCs w:val="30"/>
        </w:rPr>
        <w:t>（</w:t>
      </w:r>
      <w:r>
        <w:rPr>
          <w:rFonts w:hint="eastAsia" w:ascii="Times New Roman" w:hAnsi="Times New Roman" w:cs="Times New Roman"/>
          <w:b w:val="0"/>
          <w:bCs/>
          <w:sz w:val="30"/>
          <w:szCs w:val="30"/>
        </w:rPr>
        <w:t>二</w:t>
      </w:r>
      <w:r>
        <w:rPr>
          <w:rFonts w:ascii="Times New Roman" w:hAnsi="Times New Roman" w:cs="Times New Roman"/>
          <w:b w:val="0"/>
          <w:bCs/>
          <w:sz w:val="30"/>
          <w:szCs w:val="30"/>
        </w:rPr>
        <w:t>）编制依据</w:t>
      </w:r>
      <w:bookmarkEnd w:id="2"/>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1、《中华人民共和国土地管理法》（2019年修正版）；</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2、《自然资源部关于印发〈土地征收成片开发标准（试行）〉的通知》（自然资规〔2020〕5号）；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3、《中共中央办公厅 国务院办公厅印发〈关于在国土空间规划中统筹划定落实三条控制线〉的指导意见》（厅字〔2019〕48 号）；</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rPr>
        <w:t>、《中共中央办公厅国务院〈关于建立国土空间规划体系并监督实施的若干意见〉》（中发〔2019〕18 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ascii="Times New Roman" w:hAnsi="Times New Roman" w:eastAsia="仿宋" w:cs="Times New Roman"/>
          <w:sz w:val="28"/>
          <w:szCs w:val="28"/>
        </w:rPr>
        <w:t>、《福建省自然资源厅关于印发〈福建省土地征收成片开发方案报批实施细则（试行）〉的通知》（闽自然资发〔2021〕3号）；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w:t>
      </w:r>
      <w:r>
        <w:rPr>
          <w:rFonts w:ascii="Times New Roman" w:hAnsi="Times New Roman" w:eastAsia="仿宋" w:cs="Times New Roman"/>
          <w:sz w:val="28"/>
          <w:szCs w:val="28"/>
        </w:rPr>
        <w:t>、《福建省自然资源厅关于印发〈福建省土地征收成片开发方案编制参考指南（试行）〉的通知》（闽自然资发〔2021〕6号）；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7</w:t>
      </w:r>
      <w:r>
        <w:rPr>
          <w:rFonts w:ascii="Times New Roman" w:hAnsi="Times New Roman" w:eastAsia="仿宋" w:cs="Times New Roman"/>
          <w:sz w:val="28"/>
          <w:szCs w:val="28"/>
        </w:rPr>
        <w:t>、《自然资源部办公厅关于印发〈国土空间调查、规划、用途管制用地用海分类指南（试行）〉》（自然资办发〔2020〕51号）；</w:t>
      </w:r>
    </w:p>
    <w:p>
      <w:pPr>
        <w:pStyle w:val="2"/>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8</w:t>
      </w:r>
      <w:r>
        <w:rPr>
          <w:rFonts w:ascii="Times New Roman" w:hAnsi="Times New Roman" w:eastAsia="仿宋" w:cs="Times New Roman"/>
          <w:sz w:val="28"/>
          <w:szCs w:val="28"/>
        </w:rPr>
        <w:t>、《</w:t>
      </w:r>
      <w:r>
        <w:rPr>
          <w:rFonts w:hint="eastAsia" w:ascii="Times New Roman" w:hAnsi="Times New Roman" w:eastAsia="仿宋" w:cs="Times New Roman"/>
          <w:sz w:val="28"/>
          <w:szCs w:val="28"/>
        </w:rPr>
        <w:t>泰宁县</w:t>
      </w:r>
      <w:r>
        <w:rPr>
          <w:rFonts w:ascii="Times New Roman" w:hAnsi="Times New Roman" w:eastAsia="仿宋" w:cs="Times New Roman"/>
          <w:sz w:val="28"/>
          <w:szCs w:val="28"/>
        </w:rPr>
        <w:t>国民经济和社会发展第十四个五年规划和二〇三五年远景目标纲要》；</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9、相关编制依据。</w:t>
      </w:r>
    </w:p>
    <w:p>
      <w:pPr>
        <w:keepNext/>
        <w:keepLines/>
        <w:spacing w:before="120" w:after="120" w:line="360" w:lineRule="auto"/>
        <w:outlineLvl w:val="0"/>
        <w:rPr>
          <w:rFonts w:ascii="Times New Roman" w:hAnsi="Times New Roman" w:eastAsia="黑体" w:cs="Times New Roman"/>
          <w:bCs/>
          <w:kern w:val="44"/>
          <w:sz w:val="32"/>
          <w:szCs w:val="32"/>
        </w:rPr>
      </w:pPr>
      <w:bookmarkStart w:id="3" w:name="_Toc14521"/>
      <w:bookmarkStart w:id="4" w:name="_Toc23537"/>
      <w:r>
        <w:rPr>
          <w:rFonts w:ascii="Times New Roman" w:hAnsi="Times New Roman" w:eastAsia="黑体" w:cs="Times New Roman"/>
          <w:bCs/>
          <w:kern w:val="44"/>
          <w:sz w:val="32"/>
          <w:szCs w:val="32"/>
        </w:rPr>
        <w:t>二、编制条件</w:t>
      </w:r>
      <w:bookmarkEnd w:id="3"/>
      <w:bookmarkEnd w:id="4"/>
    </w:p>
    <w:p>
      <w:pPr>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月底，泰宁县批而未供土地面积80.8831公顷&lt;500公顷。2020年和2021年，泰宁县批而未供土地处置率分别为</w:t>
      </w:r>
      <w:r>
        <w:rPr>
          <w:rFonts w:hint="eastAsia" w:ascii="Times New Roman" w:hAnsi="Times New Roman" w:eastAsia="仿宋" w:cs="Times New Roman"/>
          <w:sz w:val="28"/>
          <w:szCs w:val="28"/>
          <w:lang w:val="en-US" w:eastAsia="zh-CN"/>
        </w:rPr>
        <w:t>23.90%和21.40</w:t>
      </w:r>
      <w:r>
        <w:rPr>
          <w:rFonts w:hint="eastAsia" w:ascii="Times New Roman" w:hAnsi="Times New Roman" w:eastAsia="仿宋" w:cs="Times New Roman"/>
          <w:sz w:val="28"/>
          <w:szCs w:val="28"/>
        </w:rPr>
        <w:t>%，均已超过15%的情况。</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月底，泰宁县闲置土地面积</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&lt;50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年和</w:t>
      </w:r>
      <w:r>
        <w:rPr>
          <w:rFonts w:ascii="Times New Roman" w:hAnsi="Times New Roman" w:eastAsia="仿宋" w:cs="Times New Roman"/>
          <w:sz w:val="28"/>
          <w:szCs w:val="28"/>
        </w:rPr>
        <w:t>2021</w:t>
      </w:r>
      <w:r>
        <w:rPr>
          <w:rFonts w:hint="eastAsia" w:ascii="Times New Roman" w:hAnsi="Times New Roman" w:eastAsia="仿宋" w:cs="Times New Roman"/>
          <w:sz w:val="28"/>
          <w:szCs w:val="28"/>
        </w:rPr>
        <w:t>年，泰宁县闲置土地处置率分别为</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，均</w:t>
      </w:r>
      <w:r>
        <w:rPr>
          <w:rFonts w:ascii="Times New Roman" w:hAnsi="Times New Roman" w:eastAsia="仿宋" w:cs="Times New Roman"/>
          <w:sz w:val="28"/>
          <w:szCs w:val="28"/>
        </w:rPr>
        <w:t>已超过15%</w:t>
      </w:r>
      <w:r>
        <w:rPr>
          <w:rFonts w:hint="eastAsia" w:ascii="Times New Roman" w:hAnsi="Times New Roman" w:eastAsia="仿宋" w:cs="Times New Roman"/>
          <w:sz w:val="28"/>
          <w:szCs w:val="28"/>
        </w:rPr>
        <w:t>的情况，符合《福建省土地征收成片开发方案报批实施细则（试行）》（以下简称《实施细则》）要求。</w:t>
      </w:r>
    </w:p>
    <w:p>
      <w:pPr>
        <w:pStyle w:val="4"/>
        <w:spacing w:before="120" w:after="120" w:line="360" w:lineRule="auto"/>
        <w:rPr>
          <w:rFonts w:ascii="Times New Roman" w:hAnsi="Times New Roman" w:eastAsia="黑体" w:cs="Times New Roman"/>
          <w:b w:val="0"/>
          <w:bCs/>
          <w:sz w:val="32"/>
          <w:szCs w:val="32"/>
        </w:rPr>
      </w:pPr>
      <w:bookmarkStart w:id="5" w:name="_Toc13389"/>
      <w:r>
        <w:rPr>
          <w:rFonts w:ascii="Times New Roman" w:hAnsi="Times New Roman" w:eastAsia="黑体" w:cs="Times New Roman"/>
          <w:b w:val="0"/>
          <w:bCs/>
          <w:sz w:val="32"/>
          <w:szCs w:val="32"/>
        </w:rPr>
        <w:t>三、基本情况</w:t>
      </w:r>
      <w:bookmarkEnd w:id="5"/>
    </w:p>
    <w:p>
      <w:pPr>
        <w:pStyle w:val="5"/>
        <w:spacing w:before="0" w:after="0" w:line="240" w:lineRule="auto"/>
        <w:ind w:firstLine="600" w:firstLineChars="200"/>
        <w:rPr>
          <w:rFonts w:ascii="Times New Roman" w:hAnsi="Times New Roman" w:cs="Times New Roman"/>
          <w:b w:val="0"/>
          <w:bCs/>
          <w:sz w:val="30"/>
          <w:szCs w:val="30"/>
        </w:rPr>
      </w:pPr>
      <w:bookmarkStart w:id="6" w:name="_Toc32685"/>
      <w:bookmarkStart w:id="7" w:name="_Toc31321"/>
      <w:r>
        <w:rPr>
          <w:rFonts w:ascii="Times New Roman" w:hAnsi="Times New Roman" w:cs="Times New Roman"/>
          <w:b w:val="0"/>
          <w:bCs/>
          <w:sz w:val="30"/>
          <w:szCs w:val="30"/>
        </w:rPr>
        <w:t>（一）区域位置</w:t>
      </w:r>
      <w:bookmarkEnd w:id="6"/>
      <w:bookmarkEnd w:id="7"/>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本方案片区位于</w:t>
      </w:r>
      <w:r>
        <w:rPr>
          <w:rFonts w:hint="eastAsia" w:ascii="Times New Roman" w:hAnsi="Times New Roman" w:eastAsia="仿宋" w:cs="Times New Roman"/>
          <w:sz w:val="28"/>
          <w:szCs w:val="28"/>
          <w:lang w:val="en-US" w:eastAsia="zh-CN"/>
        </w:rPr>
        <w:t>泰宁县</w:t>
      </w:r>
      <w:r>
        <w:rPr>
          <w:rFonts w:hint="eastAsia" w:ascii="Times New Roman" w:hAnsi="Times New Roman" w:eastAsia="仿宋" w:cs="Times New Roman"/>
          <w:sz w:val="28"/>
          <w:szCs w:val="28"/>
        </w:rPr>
        <w:t>主城区的西南侧，涉及杉城镇红卫村。距离泰宁县城约6公里。片区通过北侧的763县道来沟通县城与大金湖景区，对外交通便捷。</w:t>
      </w:r>
    </w:p>
    <w:p>
      <w:pPr>
        <w:pStyle w:val="5"/>
        <w:spacing w:before="0" w:after="0" w:line="240" w:lineRule="auto"/>
        <w:ind w:firstLine="600" w:firstLineChars="200"/>
        <w:rPr>
          <w:rFonts w:ascii="Times New Roman" w:hAnsi="Times New Roman" w:cs="Times New Roman"/>
          <w:b w:val="0"/>
          <w:bCs/>
          <w:sz w:val="30"/>
          <w:szCs w:val="30"/>
        </w:rPr>
      </w:pPr>
      <w:bookmarkStart w:id="8" w:name="_Toc29352"/>
      <w:bookmarkStart w:id="9" w:name="_Toc30565"/>
      <w:r>
        <w:rPr>
          <w:rFonts w:ascii="Times New Roman" w:hAnsi="Times New Roman" w:cs="Times New Roman"/>
          <w:b w:val="0"/>
          <w:bCs/>
          <w:sz w:val="30"/>
          <w:szCs w:val="30"/>
        </w:rPr>
        <w:t>（二）方案范围</w:t>
      </w:r>
      <w:bookmarkEnd w:id="8"/>
      <w:bookmarkEnd w:id="9"/>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本方案片区地块四至范围：片区开发范围东至红卫村自然山体，南至五元路，西至城西学校，北至泰宁影视城。南北长约940米，东西长约810米，用地总面积</w:t>
      </w:r>
      <w:r>
        <w:rPr>
          <w:rFonts w:hint="eastAsia" w:ascii="Times New Roman" w:hAnsi="Times New Roman" w:eastAsia="仿宋" w:cs="Times New Roman"/>
          <w:sz w:val="28"/>
          <w:szCs w:val="28"/>
          <w:lang w:eastAsia="zh-CN"/>
        </w:rPr>
        <w:t>25.</w:t>
      </w:r>
      <w:r>
        <w:rPr>
          <w:rFonts w:hint="eastAsia" w:ascii="Times New Roman" w:hAnsi="Times New Roman" w:eastAsia="仿宋" w:cs="Times New Roman"/>
          <w:sz w:val="28"/>
          <w:szCs w:val="28"/>
          <w:lang w:val="en-US" w:eastAsia="zh-CN"/>
        </w:rPr>
        <w:t>4236</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 xml:space="preserve"> </w:t>
      </w:r>
    </w:p>
    <w:p>
      <w:pPr>
        <w:pStyle w:val="5"/>
        <w:spacing w:before="0" w:after="0" w:line="240" w:lineRule="auto"/>
        <w:ind w:firstLine="600" w:firstLineChars="200"/>
        <w:rPr>
          <w:rFonts w:ascii="Times New Roman" w:hAnsi="Times New Roman" w:cs="Times New Roman"/>
          <w:b w:val="0"/>
          <w:bCs/>
          <w:sz w:val="30"/>
          <w:szCs w:val="30"/>
        </w:rPr>
      </w:pPr>
      <w:bookmarkStart w:id="10" w:name="_Toc25367"/>
      <w:bookmarkStart w:id="11" w:name="_Toc13031"/>
      <w:r>
        <w:rPr>
          <w:rFonts w:ascii="Times New Roman" w:hAnsi="Times New Roman" w:cs="Times New Roman"/>
          <w:b w:val="0"/>
          <w:bCs/>
          <w:sz w:val="30"/>
          <w:szCs w:val="30"/>
        </w:rPr>
        <w:t>（三）用地条件</w:t>
      </w:r>
      <w:bookmarkEnd w:id="10"/>
      <w:bookmarkEnd w:id="11"/>
    </w:p>
    <w:p>
      <w:pPr>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本方案涉及泰宁县杉城镇红卫村，共1个镇1个村根据实地勘测调查，本方案成片开发范围总面积</w:t>
      </w:r>
      <w:r>
        <w:rPr>
          <w:rFonts w:hint="default" w:ascii="Times New Roman" w:hAnsi="Times New Roman" w:eastAsia="仿宋" w:cs="Times New Roman"/>
          <w:sz w:val="28"/>
          <w:szCs w:val="28"/>
          <w:lang w:val="en-US" w:eastAsia="zh-CN"/>
        </w:rPr>
        <w:t>25.4236</w:t>
      </w:r>
      <w:r>
        <w:rPr>
          <w:rFonts w:hint="eastAsia" w:ascii="Times New Roman" w:hAnsi="Times New Roman" w:eastAsia="仿宋" w:cs="Times New Roman"/>
          <w:sz w:val="28"/>
          <w:szCs w:val="28"/>
        </w:rPr>
        <w:t>公顷。其中，农用地</w:t>
      </w:r>
      <w:r>
        <w:rPr>
          <w:rFonts w:hint="default" w:ascii="Times New Roman" w:hAnsi="Times New Roman" w:eastAsia="仿宋" w:cs="Times New Roman"/>
          <w:sz w:val="28"/>
          <w:szCs w:val="28"/>
          <w:lang w:val="en-US" w:eastAsia="zh-CN"/>
        </w:rPr>
        <w:t>15.2093</w:t>
      </w:r>
      <w:r>
        <w:rPr>
          <w:rFonts w:hint="eastAsia" w:ascii="Times New Roman" w:hAnsi="Times New Roman" w:eastAsia="仿宋" w:cs="Times New Roman"/>
          <w:sz w:val="28"/>
          <w:szCs w:val="28"/>
        </w:rPr>
        <w:t>公顷（耕地</w:t>
      </w:r>
      <w:r>
        <w:rPr>
          <w:rFonts w:hint="default" w:ascii="Times New Roman" w:hAnsi="Times New Roman" w:eastAsia="仿宋" w:cs="Times New Roman"/>
          <w:sz w:val="28"/>
          <w:szCs w:val="28"/>
          <w:lang w:val="en-US" w:eastAsia="zh-CN"/>
        </w:rPr>
        <w:t>4.5664</w:t>
      </w:r>
      <w:r>
        <w:rPr>
          <w:rFonts w:hint="eastAsia" w:ascii="Times New Roman" w:hAnsi="Times New Roman" w:eastAsia="仿宋" w:cs="Times New Roman"/>
          <w:sz w:val="28"/>
          <w:szCs w:val="28"/>
        </w:rPr>
        <w:t>公顷），建设用地</w:t>
      </w:r>
      <w:r>
        <w:rPr>
          <w:rFonts w:hint="default" w:ascii="Times New Roman" w:hAnsi="Times New Roman" w:eastAsia="仿宋" w:cs="Times New Roman"/>
          <w:sz w:val="28"/>
          <w:szCs w:val="28"/>
          <w:lang w:val="en-US" w:eastAsia="zh-CN"/>
        </w:rPr>
        <w:t>10.2143</w:t>
      </w:r>
      <w:r>
        <w:rPr>
          <w:rFonts w:hint="eastAsia" w:ascii="Times New Roman" w:hAnsi="Times New Roman" w:eastAsia="仿宋" w:cs="Times New Roman"/>
          <w:sz w:val="28"/>
          <w:szCs w:val="28"/>
        </w:rPr>
        <w:t>公顷，未利用</w:t>
      </w:r>
      <w:r>
        <w:rPr>
          <w:rFonts w:hint="eastAsia" w:ascii="Times New Roman" w:hAnsi="Times New Roman" w:eastAsia="仿宋" w:cs="Times New Roman"/>
          <w:sz w:val="28"/>
          <w:szCs w:val="28"/>
          <w:lang w:val="en-US" w:eastAsia="zh-CN"/>
        </w:rPr>
        <w:t>0</w:t>
      </w:r>
      <w:r>
        <w:rPr>
          <w:rFonts w:hint="eastAsia" w:ascii="Times New Roman" w:hAnsi="Times New Roman" w:eastAsia="仿宋" w:cs="Times New Roman"/>
          <w:sz w:val="28"/>
          <w:szCs w:val="28"/>
        </w:rPr>
        <w:t>公顷。</w:t>
      </w:r>
    </w:p>
    <w:p>
      <w:pPr>
        <w:pStyle w:val="5"/>
        <w:spacing w:before="0" w:after="0" w:line="240" w:lineRule="auto"/>
        <w:ind w:firstLine="600" w:firstLineChars="200"/>
        <w:rPr>
          <w:rFonts w:ascii="Times New Roman" w:hAnsi="Times New Roman" w:eastAsia="仿宋" w:cs="Times New Roman"/>
          <w:sz w:val="28"/>
          <w:szCs w:val="28"/>
        </w:rPr>
      </w:pPr>
      <w:bookmarkStart w:id="12" w:name="_Toc7062"/>
      <w:bookmarkStart w:id="13" w:name="_Toc10791"/>
      <w:r>
        <w:rPr>
          <w:rFonts w:ascii="Times New Roman" w:hAnsi="Times New Roman" w:cs="Times New Roman"/>
          <w:b w:val="0"/>
          <w:bCs/>
          <w:sz w:val="30"/>
          <w:szCs w:val="30"/>
        </w:rPr>
        <w:t>（</w:t>
      </w:r>
      <w:r>
        <w:rPr>
          <w:rFonts w:hint="eastAsia" w:ascii="Times New Roman" w:hAnsi="Times New Roman" w:cs="Times New Roman"/>
          <w:b w:val="0"/>
          <w:bCs/>
          <w:sz w:val="30"/>
          <w:szCs w:val="30"/>
        </w:rPr>
        <w:t>四</w:t>
      </w:r>
      <w:r>
        <w:rPr>
          <w:rFonts w:ascii="Times New Roman" w:hAnsi="Times New Roman" w:cs="Times New Roman"/>
          <w:b w:val="0"/>
          <w:bCs/>
          <w:sz w:val="30"/>
          <w:szCs w:val="30"/>
        </w:rPr>
        <w:t>）实施周期</w:t>
      </w:r>
      <w:bookmarkEnd w:id="12"/>
      <w:bookmarkEnd w:id="13"/>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综合考虑当地社会经济发展状况等因素，本方案实施周期为</w:t>
      </w:r>
      <w:r>
        <w:rPr>
          <w:rFonts w:hint="eastAsia" w:ascii="Times New Roman" w:hAnsi="Times New Roman" w:eastAsia="仿宋" w:cs="Times New Roman"/>
          <w:sz w:val="28"/>
          <w:szCs w:val="28"/>
        </w:rPr>
        <w:t>3</w:t>
      </w:r>
      <w:r>
        <w:rPr>
          <w:rFonts w:ascii="Times New Roman" w:hAnsi="Times New Roman" w:eastAsia="仿宋" w:cs="Times New Roman"/>
          <w:sz w:val="28"/>
          <w:szCs w:val="28"/>
        </w:rPr>
        <w:t>年（2022年至2024年）。</w:t>
      </w:r>
    </w:p>
    <w:p>
      <w:pPr>
        <w:pStyle w:val="4"/>
        <w:spacing w:before="120" w:after="120" w:line="360" w:lineRule="auto"/>
        <w:rPr>
          <w:rFonts w:ascii="Times New Roman" w:hAnsi="Times New Roman" w:eastAsia="黑体" w:cs="Times New Roman"/>
          <w:b w:val="0"/>
          <w:bCs/>
          <w:sz w:val="32"/>
          <w:szCs w:val="32"/>
        </w:rPr>
      </w:pPr>
      <w:bookmarkStart w:id="14" w:name="_Toc25312"/>
      <w:r>
        <w:rPr>
          <w:rFonts w:hint="eastAsia" w:ascii="Times New Roman" w:hAnsi="Times New Roman" w:eastAsia="黑体" w:cs="Times New Roman"/>
          <w:b w:val="0"/>
          <w:bCs/>
          <w:sz w:val="32"/>
          <w:szCs w:val="32"/>
        </w:rPr>
        <w:t>四</w:t>
      </w:r>
      <w:r>
        <w:rPr>
          <w:rFonts w:ascii="Times New Roman" w:hAnsi="Times New Roman" w:eastAsia="黑体" w:cs="Times New Roman"/>
          <w:b w:val="0"/>
          <w:bCs/>
          <w:sz w:val="32"/>
          <w:szCs w:val="32"/>
        </w:rPr>
        <w:t>、</w:t>
      </w:r>
      <w:r>
        <w:rPr>
          <w:rFonts w:hint="eastAsia" w:ascii="Times New Roman" w:hAnsi="Times New Roman" w:eastAsia="黑体" w:cs="Times New Roman"/>
          <w:b w:val="0"/>
          <w:bCs/>
          <w:sz w:val="32"/>
          <w:szCs w:val="32"/>
        </w:rPr>
        <w:t>主要用途、实现功能及公益性用地比例</w:t>
      </w:r>
      <w:bookmarkEnd w:id="14"/>
    </w:p>
    <w:p>
      <w:pPr>
        <w:ind w:firstLine="560"/>
        <w:rPr>
          <w:rFonts w:hint="eastAsia" w:ascii="Times New Roman" w:hAnsi="Times New Roman" w:eastAsia="仿宋" w:cs="Times New Roman"/>
          <w:sz w:val="28"/>
          <w:szCs w:val="28"/>
          <w:lang w:eastAsia="zh-CN"/>
        </w:rPr>
      </w:pPr>
      <w:bookmarkStart w:id="15" w:name="_Toc9058"/>
      <w:bookmarkStart w:id="16" w:name="_Toc20077"/>
      <w:bookmarkStart w:id="17" w:name="_Toc61179750"/>
      <w:r>
        <w:rPr>
          <w:rFonts w:hint="eastAsia" w:ascii="Times New Roman" w:hAnsi="Times New Roman" w:eastAsia="仿宋" w:cs="Times New Roman"/>
          <w:sz w:val="28"/>
          <w:szCs w:val="28"/>
        </w:rPr>
        <w:t>本方案用地总面积</w:t>
      </w:r>
      <w:r>
        <w:rPr>
          <w:rFonts w:hint="default" w:ascii="Times New Roman" w:hAnsi="Times New Roman" w:eastAsia="仿宋" w:cs="Times New Roman"/>
          <w:sz w:val="28"/>
          <w:szCs w:val="28"/>
          <w:lang w:val="en-US" w:eastAsia="zh-CN"/>
        </w:rPr>
        <w:t>25.4236</w:t>
      </w:r>
      <w:r>
        <w:rPr>
          <w:rFonts w:hint="eastAsia" w:ascii="Times New Roman" w:hAnsi="Times New Roman" w:eastAsia="仿宋" w:cs="Times New Roman"/>
          <w:sz w:val="28"/>
          <w:szCs w:val="28"/>
        </w:rPr>
        <w:t>公顷，其中：</w:t>
      </w:r>
      <w:bookmarkStart w:id="18" w:name="_Toc20511"/>
      <w:r>
        <w:rPr>
          <w:rFonts w:hint="eastAsia" w:ascii="Times New Roman" w:hAnsi="Times New Roman" w:eastAsia="仿宋" w:cs="Times New Roman"/>
          <w:sz w:val="28"/>
          <w:szCs w:val="28"/>
          <w:lang w:val="en-US" w:eastAsia="zh-CN"/>
        </w:rPr>
        <w:t>城镇住宅用地</w:t>
      </w:r>
      <w:r>
        <w:rPr>
          <w:rFonts w:hint="eastAsia" w:ascii="Times New Roman" w:hAnsi="Times New Roman" w:eastAsia="仿宋" w:cs="Times New Roman"/>
          <w:sz w:val="28"/>
          <w:szCs w:val="28"/>
          <w:lang w:eastAsia="zh-CN"/>
        </w:rPr>
        <w:t>面积</w:t>
      </w:r>
      <w:r>
        <w:rPr>
          <w:rFonts w:hint="eastAsia" w:ascii="Times New Roman" w:hAnsi="Times New Roman" w:eastAsia="仿宋" w:cs="Times New Roman"/>
          <w:sz w:val="28"/>
          <w:szCs w:val="28"/>
          <w:lang w:val="en-US" w:eastAsia="zh-CN"/>
        </w:rPr>
        <w:t>14.6636</w:t>
      </w:r>
      <w:r>
        <w:rPr>
          <w:rFonts w:hint="eastAsia" w:ascii="Times New Roman" w:hAnsi="Times New Roman" w:eastAsia="仿宋" w:cs="Times New Roman"/>
          <w:sz w:val="28"/>
          <w:szCs w:val="28"/>
        </w:rPr>
        <w:t>公顷</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商业用地面积0.3429公顷；体育场馆用地</w:t>
      </w:r>
      <w:r>
        <w:rPr>
          <w:rFonts w:hint="eastAsia" w:ascii="Times New Roman" w:hAnsi="Times New Roman" w:eastAsia="仿宋" w:cs="Times New Roman"/>
          <w:sz w:val="28"/>
          <w:szCs w:val="28"/>
          <w:lang w:eastAsia="zh-CN"/>
        </w:rPr>
        <w:t>面积</w:t>
      </w:r>
      <w:r>
        <w:rPr>
          <w:rFonts w:hint="eastAsia" w:ascii="Times New Roman" w:hAnsi="Times New Roman" w:eastAsia="仿宋" w:cs="Times New Roman"/>
          <w:sz w:val="28"/>
          <w:szCs w:val="28"/>
          <w:lang w:val="en-US" w:eastAsia="zh-CN"/>
        </w:rPr>
        <w:t>7.1029公顷；防护绿地</w:t>
      </w:r>
      <w:r>
        <w:rPr>
          <w:rFonts w:hint="eastAsia" w:ascii="Times New Roman" w:hAnsi="Times New Roman" w:eastAsia="仿宋" w:cs="Times New Roman"/>
          <w:sz w:val="28"/>
          <w:szCs w:val="28"/>
          <w:lang w:eastAsia="zh-CN"/>
        </w:rPr>
        <w:t>面积</w:t>
      </w:r>
      <w:r>
        <w:rPr>
          <w:rFonts w:hint="eastAsia" w:ascii="Times New Roman" w:hAnsi="Times New Roman" w:eastAsia="仿宋" w:cs="Times New Roman"/>
          <w:sz w:val="28"/>
          <w:szCs w:val="28"/>
          <w:lang w:val="en-US" w:eastAsia="zh-CN"/>
        </w:rPr>
        <w:t>1.2846</w:t>
      </w:r>
      <w:r>
        <w:rPr>
          <w:rFonts w:hint="eastAsia" w:ascii="Times New Roman" w:hAnsi="Times New Roman" w:eastAsia="仿宋" w:cs="Times New Roman"/>
          <w:sz w:val="28"/>
          <w:szCs w:val="28"/>
        </w:rPr>
        <w:t>公顷</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广场用地</w:t>
      </w:r>
      <w:r>
        <w:rPr>
          <w:rFonts w:hint="eastAsia" w:ascii="Times New Roman" w:hAnsi="Times New Roman" w:eastAsia="仿宋" w:cs="Times New Roman"/>
          <w:sz w:val="28"/>
          <w:szCs w:val="28"/>
          <w:lang w:eastAsia="zh-CN"/>
        </w:rPr>
        <w:t>面积</w:t>
      </w:r>
      <w:r>
        <w:rPr>
          <w:rFonts w:hint="eastAsia" w:ascii="Times New Roman" w:hAnsi="Times New Roman" w:eastAsia="仿宋" w:cs="Times New Roman"/>
          <w:sz w:val="28"/>
          <w:szCs w:val="28"/>
          <w:lang w:val="en-US" w:eastAsia="zh-CN"/>
        </w:rPr>
        <w:t>0.4491公顷；公路用地面积0.2781公顷；城镇道路用地面积1.3024公顷</w:t>
      </w:r>
      <w:r>
        <w:rPr>
          <w:rFonts w:hint="eastAsia" w:ascii="Times New Roman" w:hAnsi="Times New Roman" w:eastAsia="仿宋" w:cs="Times New Roman"/>
          <w:sz w:val="28"/>
          <w:szCs w:val="28"/>
          <w:lang w:eastAsia="zh-CN"/>
        </w:rPr>
        <w:t>。</w:t>
      </w:r>
    </w:p>
    <w:p>
      <w:pPr>
        <w:ind w:firstLine="56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城镇道路用地、防护绿地和广场用地属于公益性用地，合计10.4171公顷，占用地总面积的40.97%，符合《土地征收成片开发标准（试行）》公益性用地占比一般不低于40%的规定。</w:t>
      </w:r>
    </w:p>
    <w:p>
      <w:pPr>
        <w:pStyle w:val="4"/>
        <w:spacing w:before="0" w:after="120" w:line="360" w:lineRule="auto"/>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五</w:t>
      </w:r>
      <w:r>
        <w:rPr>
          <w:rFonts w:ascii="Times New Roman" w:hAnsi="Times New Roman" w:eastAsia="黑体" w:cs="Times New Roman"/>
          <w:b w:val="0"/>
          <w:bCs/>
          <w:sz w:val="32"/>
          <w:szCs w:val="32"/>
        </w:rPr>
        <w:t>、合法合规性分析</w:t>
      </w:r>
      <w:bookmarkEnd w:id="18"/>
    </w:p>
    <w:p>
      <w:pPr>
        <w:spacing w:line="360" w:lineRule="auto"/>
        <w:ind w:firstLine="560"/>
        <w:rPr>
          <w:rFonts w:ascii="Times New Roman" w:hAnsi="Times New Roman" w:eastAsia="仿宋" w:cs="Times New Roman"/>
          <w:sz w:val="28"/>
          <w:szCs w:val="28"/>
        </w:rPr>
      </w:pPr>
      <w:bookmarkStart w:id="19" w:name="_Toc19180"/>
      <w:bookmarkStart w:id="20" w:name="_Toc26938"/>
      <w:bookmarkStart w:id="21" w:name="_Toc6552"/>
      <w:r>
        <w:rPr>
          <w:rFonts w:hint="eastAsia" w:ascii="Times New Roman" w:hAnsi="Times New Roman" w:eastAsia="仿宋" w:cs="Times New Roman"/>
          <w:b/>
          <w:bCs/>
          <w:sz w:val="28"/>
          <w:szCs w:val="28"/>
        </w:rPr>
        <w:t>国土空间规划：</w:t>
      </w:r>
      <w:r>
        <w:rPr>
          <w:rFonts w:ascii="Times New Roman" w:hAnsi="Times New Roman" w:eastAsia="仿宋" w:cs="Times New Roman"/>
          <w:sz w:val="28"/>
          <w:szCs w:val="28"/>
        </w:rPr>
        <w:t>成片开发范围位于土地利用总体规划确定的</w:t>
      </w:r>
      <w:r>
        <w:rPr>
          <w:rFonts w:hint="eastAsia" w:ascii="Times New Roman" w:hAnsi="Times New Roman" w:eastAsia="仿宋" w:cs="Times New Roman"/>
          <w:sz w:val="28"/>
          <w:szCs w:val="28"/>
        </w:rPr>
        <w:t>城镇建设用地范围</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方案土地征收成片开发范围</w:t>
      </w:r>
      <w:r>
        <w:rPr>
          <w:rFonts w:hint="eastAsia" w:ascii="Times New Roman" w:hAnsi="Times New Roman" w:eastAsia="仿宋" w:cs="Times New Roman"/>
          <w:sz w:val="28"/>
          <w:szCs w:val="28"/>
        </w:rPr>
        <w:t>已</w:t>
      </w:r>
      <w:r>
        <w:rPr>
          <w:rFonts w:ascii="Times New Roman" w:hAnsi="Times New Roman" w:eastAsia="仿宋" w:cs="Times New Roman"/>
          <w:sz w:val="28"/>
          <w:szCs w:val="28"/>
        </w:rPr>
        <w:t>纳入</w:t>
      </w:r>
      <w:r>
        <w:rPr>
          <w:rFonts w:hint="eastAsia" w:ascii="Times New Roman" w:hAnsi="Times New Roman" w:eastAsia="仿宋" w:cs="Times New Roman"/>
          <w:sz w:val="28"/>
          <w:szCs w:val="28"/>
        </w:rPr>
        <w:t>上报的城镇开发边界集中建设区，泰宁县人民政府承诺将土地征收成片开发范围纳入国土空间规划最终确定的城镇开发边界内的集中建设区，并符合规划管控规则。</w:t>
      </w:r>
    </w:p>
    <w:p>
      <w:pPr>
        <w:spacing w:line="360" w:lineRule="auto"/>
        <w:ind w:firstLine="560"/>
        <w:rPr>
          <w:rFonts w:ascii="Times New Roman" w:hAnsi="Times New Roman" w:eastAsia="仿宋" w:cs="Times New Roman"/>
          <w:sz w:val="28"/>
          <w:szCs w:val="28"/>
        </w:rPr>
      </w:pPr>
      <w:r>
        <w:rPr>
          <w:rFonts w:ascii="Times New Roman" w:hAnsi="Times New Roman" w:eastAsia="仿宋" w:cs="Times New Roman"/>
          <w:b/>
          <w:bCs/>
          <w:sz w:val="28"/>
          <w:szCs w:val="28"/>
        </w:rPr>
        <w:t>国民经济和社会发展规划、年度计划：</w:t>
      </w:r>
      <w:r>
        <w:rPr>
          <w:rFonts w:ascii="Times New Roman" w:hAnsi="Times New Roman" w:eastAsia="仿宋" w:cs="Times New Roman"/>
          <w:sz w:val="28"/>
          <w:szCs w:val="28"/>
        </w:rPr>
        <w:t>本方案与现行国民经济和社会发展规划相符，已纳入国民经济和社会发展年度计划。</w:t>
      </w:r>
    </w:p>
    <w:p>
      <w:pPr>
        <w:spacing w:line="360" w:lineRule="auto"/>
        <w:ind w:firstLine="560"/>
        <w:rPr>
          <w:rFonts w:ascii="Times New Roman" w:hAnsi="Times New Roman" w:eastAsia="仿宋" w:cs="Times New Roman"/>
          <w:sz w:val="28"/>
          <w:szCs w:val="28"/>
        </w:rPr>
      </w:pPr>
      <w:r>
        <w:rPr>
          <w:rFonts w:ascii="Times New Roman" w:hAnsi="Times New Roman" w:eastAsia="仿宋" w:cs="Times New Roman"/>
          <w:b/>
          <w:bCs/>
          <w:sz w:val="28"/>
          <w:szCs w:val="28"/>
        </w:rPr>
        <w:t>占用永久基本农田和其他法律法规规定不允许占用或开发的：</w:t>
      </w:r>
      <w:r>
        <w:rPr>
          <w:rFonts w:ascii="Times New Roman" w:hAnsi="Times New Roman" w:eastAsia="仿宋" w:cs="Times New Roman"/>
          <w:sz w:val="28"/>
          <w:szCs w:val="28"/>
        </w:rPr>
        <w:t>本方案不占用永久基本农田、生态保护红线</w:t>
      </w:r>
      <w:r>
        <w:rPr>
          <w:rFonts w:hint="eastAsia" w:ascii="Times New Roman" w:hAnsi="Times New Roman" w:eastAsia="仿宋" w:cs="Times New Roman"/>
          <w:sz w:val="28"/>
          <w:szCs w:val="28"/>
        </w:rPr>
        <w:t>和自然</w:t>
      </w:r>
      <w:r>
        <w:rPr>
          <w:rFonts w:ascii="Times New Roman" w:hAnsi="Times New Roman" w:eastAsia="仿宋" w:cs="Times New Roman"/>
          <w:sz w:val="28"/>
          <w:szCs w:val="28"/>
        </w:rPr>
        <w:t>保护地</w:t>
      </w:r>
      <w:r>
        <w:rPr>
          <w:rFonts w:hint="eastAsia" w:ascii="Times New Roman" w:hAnsi="Times New Roman" w:eastAsia="仿宋" w:cs="Times New Roman"/>
          <w:sz w:val="28"/>
          <w:szCs w:val="28"/>
        </w:rPr>
        <w:t>。</w:t>
      </w:r>
      <w:bookmarkEnd w:id="19"/>
      <w:bookmarkEnd w:id="20"/>
      <w:bookmarkEnd w:id="21"/>
    </w:p>
    <w:bookmarkEnd w:id="15"/>
    <w:bookmarkEnd w:id="16"/>
    <w:bookmarkEnd w:id="17"/>
    <w:p>
      <w:pPr>
        <w:pStyle w:val="4"/>
        <w:spacing w:before="120" w:after="120" w:line="360" w:lineRule="auto"/>
        <w:rPr>
          <w:rFonts w:ascii="Times New Roman" w:hAnsi="Times New Roman" w:eastAsia="黑体" w:cs="Times New Roman"/>
          <w:b w:val="0"/>
          <w:bCs/>
          <w:sz w:val="32"/>
          <w:szCs w:val="32"/>
        </w:rPr>
      </w:pPr>
      <w:bookmarkStart w:id="22" w:name="_Toc16063"/>
      <w:r>
        <w:rPr>
          <w:rFonts w:hint="eastAsia" w:ascii="Times New Roman" w:hAnsi="Times New Roman" w:eastAsia="黑体" w:cs="Times New Roman"/>
          <w:b w:val="0"/>
          <w:bCs/>
          <w:sz w:val="32"/>
          <w:szCs w:val="32"/>
        </w:rPr>
        <w:t>六</w:t>
      </w:r>
      <w:r>
        <w:rPr>
          <w:rFonts w:ascii="Times New Roman" w:hAnsi="Times New Roman" w:eastAsia="黑体" w:cs="Times New Roman"/>
          <w:b w:val="0"/>
          <w:bCs/>
          <w:sz w:val="32"/>
          <w:szCs w:val="32"/>
        </w:rPr>
        <w:t>、结论</w:t>
      </w:r>
      <w:bookmarkEnd w:id="22"/>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土地征收成片开发方案符合国民经济和社会发展规划、土地利用总体规划和专项规划，在土地利用总体规划确定的城镇建设用地范围内，已纳入国民经济和社会发展年度计划，符合部省规定的标准，做到了保护耕地、维护农民合法权益、节约集约用地、保护生态环境，能够促进经济社会可持续发展。</w:t>
      </w:r>
    </w:p>
    <w:p>
      <w:pPr>
        <w:pStyle w:val="2"/>
        <w:ind w:firstLine="480"/>
      </w:pPr>
      <w:r>
        <w:br w:type="page"/>
      </w:r>
    </w:p>
    <w:p>
      <w:pPr>
        <w:widowControl/>
        <w:spacing w:before="100" w:beforeAutospacing="1" w:after="100" w:afterAutospacing="1"/>
        <w:ind w:firstLine="360"/>
        <w:jc w:val="left"/>
        <w:rPr>
          <w:sz w:val="18"/>
          <w:szCs w:val="18"/>
        </w:rPr>
        <w:sectPr>
          <w:footerReference r:id="rId3" w:type="default"/>
          <w:pgSz w:w="11906" w:h="16838"/>
          <w:pgMar w:top="1417" w:right="1134" w:bottom="1134" w:left="1417" w:header="851" w:footer="992" w:gutter="0"/>
          <w:pgNumType w:start="1"/>
          <w:cols w:space="720" w:num="1"/>
          <w:docGrid w:type="lines" w:linePitch="312" w:charSpace="0"/>
        </w:sectPr>
      </w:pPr>
    </w:p>
    <w:p>
      <w:pPr>
        <w:ind w:firstLine="560"/>
        <w:rPr>
          <w:rFonts w:hint="eastAsia" w:ascii="Calibri" w:hAnsi="Calibri" w:eastAsia="宋体"/>
          <w:lang w:eastAsia="zh-CN"/>
        </w:rPr>
      </w:pPr>
      <w:r>
        <w:rPr>
          <w:rFonts w:hint="eastAsia" w:ascii="Calibri" w:hAnsi="Calibri" w:eastAsia="宋体"/>
          <w:lang w:eastAsia="zh-CN"/>
        </w:rPr>
        <w:drawing>
          <wp:anchor distT="0" distB="0" distL="114300" distR="114300" simplePos="0" relativeHeight="251659264" behindDoc="1" locked="0" layoutInCell="1" allowOverlap="1">
            <wp:simplePos x="0" y="0"/>
            <wp:positionH relativeFrom="column">
              <wp:posOffset>-1033145</wp:posOffset>
            </wp:positionH>
            <wp:positionV relativeFrom="paragraph">
              <wp:posOffset>-831215</wp:posOffset>
            </wp:positionV>
            <wp:extent cx="7425055" cy="10502265"/>
            <wp:effectExtent l="0" t="0" r="0" b="0"/>
            <wp:wrapThrough wrapText="bothSides">
              <wp:wrapPolygon>
                <wp:start x="0" y="0"/>
                <wp:lineTo x="0" y="21549"/>
                <wp:lineTo x="21558" y="21549"/>
                <wp:lineTo x="21558" y="0"/>
                <wp:lineTo x="0" y="0"/>
              </wp:wrapPolygon>
            </wp:wrapThrough>
            <wp:docPr id="2" name="图片 2" descr="公示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示稿"/>
                    <pic:cNvPicPr>
                      <a:picLocks noChangeAspect="1"/>
                    </pic:cNvPicPr>
                  </pic:nvPicPr>
                  <pic:blipFill>
                    <a:blip r:embed="rId6"/>
                    <a:stretch>
                      <a:fillRect/>
                    </a:stretch>
                  </pic:blipFill>
                  <pic:spPr>
                    <a:xfrm>
                      <a:off x="0" y="0"/>
                      <a:ext cx="7425055" cy="10502265"/>
                    </a:xfrm>
                    <a:prstGeom prst="rect">
                      <a:avLst/>
                    </a:prstGeom>
                  </pic:spPr>
                </pic:pic>
              </a:graphicData>
            </a:graphic>
          </wp:anchor>
        </w:drawing>
      </w:r>
    </w:p>
    <w:sectPr>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NjA2N2Y3NGRhOTRmNzI3MjdhYzg3MzYyODdhYTgifQ=="/>
  </w:docVars>
  <w:rsids>
    <w:rsidRoot w:val="00172A27"/>
    <w:rsid w:val="00002F70"/>
    <w:rsid w:val="0000762E"/>
    <w:rsid w:val="00014B9D"/>
    <w:rsid w:val="0003520F"/>
    <w:rsid w:val="0005131C"/>
    <w:rsid w:val="00066571"/>
    <w:rsid w:val="00073098"/>
    <w:rsid w:val="00085794"/>
    <w:rsid w:val="000A62C6"/>
    <w:rsid w:val="000C1CE7"/>
    <w:rsid w:val="000D165B"/>
    <w:rsid w:val="0010379C"/>
    <w:rsid w:val="001468C3"/>
    <w:rsid w:val="00153212"/>
    <w:rsid w:val="00172A27"/>
    <w:rsid w:val="00180B2D"/>
    <w:rsid w:val="001A2312"/>
    <w:rsid w:val="001D3012"/>
    <w:rsid w:val="001E367A"/>
    <w:rsid w:val="001F4217"/>
    <w:rsid w:val="00240660"/>
    <w:rsid w:val="00255322"/>
    <w:rsid w:val="00261EE8"/>
    <w:rsid w:val="00274865"/>
    <w:rsid w:val="00276533"/>
    <w:rsid w:val="00282A56"/>
    <w:rsid w:val="002A260A"/>
    <w:rsid w:val="002A57F9"/>
    <w:rsid w:val="002D0C85"/>
    <w:rsid w:val="002D10BE"/>
    <w:rsid w:val="002F1F37"/>
    <w:rsid w:val="002F3CFC"/>
    <w:rsid w:val="003101D9"/>
    <w:rsid w:val="0031654D"/>
    <w:rsid w:val="00322A77"/>
    <w:rsid w:val="0035374D"/>
    <w:rsid w:val="003C19AC"/>
    <w:rsid w:val="003C1D0D"/>
    <w:rsid w:val="003C3F7C"/>
    <w:rsid w:val="003D4F5D"/>
    <w:rsid w:val="003E3509"/>
    <w:rsid w:val="0040003B"/>
    <w:rsid w:val="00402453"/>
    <w:rsid w:val="004241E3"/>
    <w:rsid w:val="00432B3F"/>
    <w:rsid w:val="004A7E60"/>
    <w:rsid w:val="004B6A11"/>
    <w:rsid w:val="004B7E1C"/>
    <w:rsid w:val="00506426"/>
    <w:rsid w:val="00507639"/>
    <w:rsid w:val="00526172"/>
    <w:rsid w:val="00534138"/>
    <w:rsid w:val="00553B63"/>
    <w:rsid w:val="00557952"/>
    <w:rsid w:val="00560D78"/>
    <w:rsid w:val="005620F7"/>
    <w:rsid w:val="00572D55"/>
    <w:rsid w:val="005A4C5C"/>
    <w:rsid w:val="005B361B"/>
    <w:rsid w:val="005F17E5"/>
    <w:rsid w:val="00610F65"/>
    <w:rsid w:val="00624A14"/>
    <w:rsid w:val="0065214A"/>
    <w:rsid w:val="006530DE"/>
    <w:rsid w:val="00660FD7"/>
    <w:rsid w:val="00661D72"/>
    <w:rsid w:val="00676E58"/>
    <w:rsid w:val="00682D09"/>
    <w:rsid w:val="006A6901"/>
    <w:rsid w:val="006E1087"/>
    <w:rsid w:val="006F4B04"/>
    <w:rsid w:val="006F5E16"/>
    <w:rsid w:val="006F6C5B"/>
    <w:rsid w:val="0072604C"/>
    <w:rsid w:val="007327F0"/>
    <w:rsid w:val="007402DC"/>
    <w:rsid w:val="00746060"/>
    <w:rsid w:val="00765FED"/>
    <w:rsid w:val="00772A9A"/>
    <w:rsid w:val="00783A70"/>
    <w:rsid w:val="00795732"/>
    <w:rsid w:val="007B12FC"/>
    <w:rsid w:val="007E7D5A"/>
    <w:rsid w:val="0081299C"/>
    <w:rsid w:val="00851072"/>
    <w:rsid w:val="008679E9"/>
    <w:rsid w:val="00873960"/>
    <w:rsid w:val="00886A4F"/>
    <w:rsid w:val="00897DE4"/>
    <w:rsid w:val="008A0A8A"/>
    <w:rsid w:val="008B31E8"/>
    <w:rsid w:val="008B49F2"/>
    <w:rsid w:val="008C7FDD"/>
    <w:rsid w:val="008E2C90"/>
    <w:rsid w:val="00911DD3"/>
    <w:rsid w:val="00917AB9"/>
    <w:rsid w:val="0093350D"/>
    <w:rsid w:val="00955193"/>
    <w:rsid w:val="00955D72"/>
    <w:rsid w:val="00961C3F"/>
    <w:rsid w:val="00963930"/>
    <w:rsid w:val="00981449"/>
    <w:rsid w:val="0098643B"/>
    <w:rsid w:val="009B64C7"/>
    <w:rsid w:val="009C0E8D"/>
    <w:rsid w:val="009C7E6A"/>
    <w:rsid w:val="009D35D7"/>
    <w:rsid w:val="00A068E7"/>
    <w:rsid w:val="00A44451"/>
    <w:rsid w:val="00A46205"/>
    <w:rsid w:val="00A62CFB"/>
    <w:rsid w:val="00A72BDB"/>
    <w:rsid w:val="00A87E05"/>
    <w:rsid w:val="00AA1189"/>
    <w:rsid w:val="00AB50B4"/>
    <w:rsid w:val="00AB6525"/>
    <w:rsid w:val="00AC604D"/>
    <w:rsid w:val="00AE3E81"/>
    <w:rsid w:val="00B018ED"/>
    <w:rsid w:val="00BC3054"/>
    <w:rsid w:val="00BD6E96"/>
    <w:rsid w:val="00C05780"/>
    <w:rsid w:val="00C254E5"/>
    <w:rsid w:val="00C41E62"/>
    <w:rsid w:val="00C42115"/>
    <w:rsid w:val="00CA086B"/>
    <w:rsid w:val="00CA4124"/>
    <w:rsid w:val="00CA57A4"/>
    <w:rsid w:val="00CD6F20"/>
    <w:rsid w:val="00D02C2D"/>
    <w:rsid w:val="00D131E0"/>
    <w:rsid w:val="00D21D8E"/>
    <w:rsid w:val="00D34268"/>
    <w:rsid w:val="00D35496"/>
    <w:rsid w:val="00D4589D"/>
    <w:rsid w:val="00D4737C"/>
    <w:rsid w:val="00D872E3"/>
    <w:rsid w:val="00DC1516"/>
    <w:rsid w:val="00E0465D"/>
    <w:rsid w:val="00E21D3B"/>
    <w:rsid w:val="00E231A5"/>
    <w:rsid w:val="00E41F1F"/>
    <w:rsid w:val="00E54032"/>
    <w:rsid w:val="00E5542D"/>
    <w:rsid w:val="00E57B20"/>
    <w:rsid w:val="00E66F28"/>
    <w:rsid w:val="00E67CBF"/>
    <w:rsid w:val="00E9653F"/>
    <w:rsid w:val="00EE1B31"/>
    <w:rsid w:val="00F305FA"/>
    <w:rsid w:val="00F36A5C"/>
    <w:rsid w:val="00F46171"/>
    <w:rsid w:val="00F61B6B"/>
    <w:rsid w:val="00F8639F"/>
    <w:rsid w:val="00FF077E"/>
    <w:rsid w:val="00FF4A1E"/>
    <w:rsid w:val="01462137"/>
    <w:rsid w:val="019270DC"/>
    <w:rsid w:val="01DD16BC"/>
    <w:rsid w:val="0238697D"/>
    <w:rsid w:val="024402E9"/>
    <w:rsid w:val="027510EF"/>
    <w:rsid w:val="029806C9"/>
    <w:rsid w:val="02B5363B"/>
    <w:rsid w:val="0317747E"/>
    <w:rsid w:val="031B5C5A"/>
    <w:rsid w:val="03575D4B"/>
    <w:rsid w:val="03C16756"/>
    <w:rsid w:val="03CA4FF7"/>
    <w:rsid w:val="0481038F"/>
    <w:rsid w:val="04A26E3F"/>
    <w:rsid w:val="04E84E2C"/>
    <w:rsid w:val="05282148"/>
    <w:rsid w:val="05C43196"/>
    <w:rsid w:val="06053BFF"/>
    <w:rsid w:val="0626511C"/>
    <w:rsid w:val="068E02DA"/>
    <w:rsid w:val="06A674C8"/>
    <w:rsid w:val="06BD658F"/>
    <w:rsid w:val="06BF1205"/>
    <w:rsid w:val="06DF60F5"/>
    <w:rsid w:val="06FE6779"/>
    <w:rsid w:val="07605486"/>
    <w:rsid w:val="077E6AA6"/>
    <w:rsid w:val="079059D3"/>
    <w:rsid w:val="07E6582A"/>
    <w:rsid w:val="08594A92"/>
    <w:rsid w:val="087719E8"/>
    <w:rsid w:val="09334B70"/>
    <w:rsid w:val="09455482"/>
    <w:rsid w:val="09D35F9B"/>
    <w:rsid w:val="09E233D7"/>
    <w:rsid w:val="0A892BB2"/>
    <w:rsid w:val="0AF92E35"/>
    <w:rsid w:val="0B75127F"/>
    <w:rsid w:val="0B886508"/>
    <w:rsid w:val="0C2346FF"/>
    <w:rsid w:val="0C713A87"/>
    <w:rsid w:val="0CB36D43"/>
    <w:rsid w:val="0D27700F"/>
    <w:rsid w:val="0D3C3C1E"/>
    <w:rsid w:val="0D5120AF"/>
    <w:rsid w:val="0D8054ED"/>
    <w:rsid w:val="0D874495"/>
    <w:rsid w:val="0DE666C8"/>
    <w:rsid w:val="0DFB5E2E"/>
    <w:rsid w:val="0F31474A"/>
    <w:rsid w:val="0F4D3C60"/>
    <w:rsid w:val="0F513719"/>
    <w:rsid w:val="0F724334"/>
    <w:rsid w:val="10FF47EA"/>
    <w:rsid w:val="11AA0225"/>
    <w:rsid w:val="12E040DD"/>
    <w:rsid w:val="1311511E"/>
    <w:rsid w:val="13295B6E"/>
    <w:rsid w:val="137B1AEE"/>
    <w:rsid w:val="13A82AA4"/>
    <w:rsid w:val="14BF02AD"/>
    <w:rsid w:val="14CF4C7A"/>
    <w:rsid w:val="153A66BC"/>
    <w:rsid w:val="1570511B"/>
    <w:rsid w:val="15B60568"/>
    <w:rsid w:val="1601458C"/>
    <w:rsid w:val="16476757"/>
    <w:rsid w:val="16EE6B62"/>
    <w:rsid w:val="1710180D"/>
    <w:rsid w:val="17912C90"/>
    <w:rsid w:val="17A7732C"/>
    <w:rsid w:val="1860131D"/>
    <w:rsid w:val="19264D75"/>
    <w:rsid w:val="19F17E07"/>
    <w:rsid w:val="1AD51D7F"/>
    <w:rsid w:val="1B2027D5"/>
    <w:rsid w:val="1B982850"/>
    <w:rsid w:val="1BAD47D2"/>
    <w:rsid w:val="1BC65521"/>
    <w:rsid w:val="1C357DD8"/>
    <w:rsid w:val="1C7519B3"/>
    <w:rsid w:val="1C7F1275"/>
    <w:rsid w:val="1C9408FA"/>
    <w:rsid w:val="1CF27F29"/>
    <w:rsid w:val="1D0A0009"/>
    <w:rsid w:val="1D124DC5"/>
    <w:rsid w:val="1D160E52"/>
    <w:rsid w:val="1DAF173A"/>
    <w:rsid w:val="1E103230"/>
    <w:rsid w:val="1E1C5387"/>
    <w:rsid w:val="1E3329F3"/>
    <w:rsid w:val="1E827F3E"/>
    <w:rsid w:val="1F3215AA"/>
    <w:rsid w:val="1F3F104F"/>
    <w:rsid w:val="2070591B"/>
    <w:rsid w:val="209A68E0"/>
    <w:rsid w:val="20EF574E"/>
    <w:rsid w:val="211711BE"/>
    <w:rsid w:val="232741D1"/>
    <w:rsid w:val="236D03FC"/>
    <w:rsid w:val="23AC1509"/>
    <w:rsid w:val="23E85AC3"/>
    <w:rsid w:val="240276D3"/>
    <w:rsid w:val="240F54A9"/>
    <w:rsid w:val="24215F3C"/>
    <w:rsid w:val="259A1EAA"/>
    <w:rsid w:val="25DC638D"/>
    <w:rsid w:val="27107E9E"/>
    <w:rsid w:val="27F719E7"/>
    <w:rsid w:val="2812227A"/>
    <w:rsid w:val="284309B0"/>
    <w:rsid w:val="28BE6F48"/>
    <w:rsid w:val="29066E10"/>
    <w:rsid w:val="297D2871"/>
    <w:rsid w:val="29DA34F7"/>
    <w:rsid w:val="2A646D78"/>
    <w:rsid w:val="2A7F659C"/>
    <w:rsid w:val="2B2739C6"/>
    <w:rsid w:val="2B2D41DC"/>
    <w:rsid w:val="2B3C1528"/>
    <w:rsid w:val="2B422DE5"/>
    <w:rsid w:val="2B5F3C1D"/>
    <w:rsid w:val="2B8146AA"/>
    <w:rsid w:val="2BA63024"/>
    <w:rsid w:val="2BCF5476"/>
    <w:rsid w:val="2BED035B"/>
    <w:rsid w:val="2C6015D4"/>
    <w:rsid w:val="2C9B28BD"/>
    <w:rsid w:val="2CB12655"/>
    <w:rsid w:val="2CBA576A"/>
    <w:rsid w:val="2CE93DEF"/>
    <w:rsid w:val="2CEE5AD9"/>
    <w:rsid w:val="2D215FD5"/>
    <w:rsid w:val="2DA07946"/>
    <w:rsid w:val="2DE6101E"/>
    <w:rsid w:val="2DED540D"/>
    <w:rsid w:val="2E5360C6"/>
    <w:rsid w:val="2E5954A7"/>
    <w:rsid w:val="2E6269AB"/>
    <w:rsid w:val="2EE3283D"/>
    <w:rsid w:val="2EFF033A"/>
    <w:rsid w:val="2F2A1A48"/>
    <w:rsid w:val="2F37118F"/>
    <w:rsid w:val="2F723F93"/>
    <w:rsid w:val="304D0355"/>
    <w:rsid w:val="30644229"/>
    <w:rsid w:val="30651CBE"/>
    <w:rsid w:val="306A7E1A"/>
    <w:rsid w:val="30770D64"/>
    <w:rsid w:val="31316879"/>
    <w:rsid w:val="31711BA6"/>
    <w:rsid w:val="317813CE"/>
    <w:rsid w:val="31957B77"/>
    <w:rsid w:val="31D35A32"/>
    <w:rsid w:val="324A0B1B"/>
    <w:rsid w:val="325D2C87"/>
    <w:rsid w:val="32C56140"/>
    <w:rsid w:val="32FB67D3"/>
    <w:rsid w:val="33402523"/>
    <w:rsid w:val="339E305E"/>
    <w:rsid w:val="33BC540E"/>
    <w:rsid w:val="34352F93"/>
    <w:rsid w:val="345D0F88"/>
    <w:rsid w:val="34B208EA"/>
    <w:rsid w:val="34F43878"/>
    <w:rsid w:val="353C4CBD"/>
    <w:rsid w:val="35D51E4A"/>
    <w:rsid w:val="36F32C4F"/>
    <w:rsid w:val="37296BB6"/>
    <w:rsid w:val="377E6513"/>
    <w:rsid w:val="37BE0844"/>
    <w:rsid w:val="37CE7CAA"/>
    <w:rsid w:val="388D291C"/>
    <w:rsid w:val="38CF5A6D"/>
    <w:rsid w:val="38DE301E"/>
    <w:rsid w:val="39307218"/>
    <w:rsid w:val="39A65BCE"/>
    <w:rsid w:val="39AD1758"/>
    <w:rsid w:val="39EF1F64"/>
    <w:rsid w:val="3A0126C4"/>
    <w:rsid w:val="3AAC79AC"/>
    <w:rsid w:val="3AE2590E"/>
    <w:rsid w:val="3AF25195"/>
    <w:rsid w:val="3AFF73C0"/>
    <w:rsid w:val="3B0B1C87"/>
    <w:rsid w:val="3B4C36A2"/>
    <w:rsid w:val="3BAB6959"/>
    <w:rsid w:val="3BFD2166"/>
    <w:rsid w:val="3C001683"/>
    <w:rsid w:val="3C3627DD"/>
    <w:rsid w:val="3C9328B4"/>
    <w:rsid w:val="3CC029C8"/>
    <w:rsid w:val="3CD45C3C"/>
    <w:rsid w:val="3CDD3D19"/>
    <w:rsid w:val="3CF40319"/>
    <w:rsid w:val="3D137AD1"/>
    <w:rsid w:val="3D7C3A12"/>
    <w:rsid w:val="3DC42D42"/>
    <w:rsid w:val="3DD86E06"/>
    <w:rsid w:val="3E816876"/>
    <w:rsid w:val="3F293698"/>
    <w:rsid w:val="3F8C3BD4"/>
    <w:rsid w:val="41156761"/>
    <w:rsid w:val="418B1761"/>
    <w:rsid w:val="429A1DA4"/>
    <w:rsid w:val="42C944E1"/>
    <w:rsid w:val="42D3311D"/>
    <w:rsid w:val="43BE2AAF"/>
    <w:rsid w:val="440C2076"/>
    <w:rsid w:val="44E56313"/>
    <w:rsid w:val="4526152E"/>
    <w:rsid w:val="45E035D5"/>
    <w:rsid w:val="45F71E16"/>
    <w:rsid w:val="467B7A42"/>
    <w:rsid w:val="47015491"/>
    <w:rsid w:val="475C50E0"/>
    <w:rsid w:val="47675699"/>
    <w:rsid w:val="479F0317"/>
    <w:rsid w:val="47E61CD2"/>
    <w:rsid w:val="485333AC"/>
    <w:rsid w:val="48565BCE"/>
    <w:rsid w:val="485D19E1"/>
    <w:rsid w:val="48717D68"/>
    <w:rsid w:val="48FD2C21"/>
    <w:rsid w:val="49997944"/>
    <w:rsid w:val="49DE1D68"/>
    <w:rsid w:val="4A087156"/>
    <w:rsid w:val="4AC37E35"/>
    <w:rsid w:val="4B446921"/>
    <w:rsid w:val="4B6B1D6B"/>
    <w:rsid w:val="4C1B40FC"/>
    <w:rsid w:val="4C3720D7"/>
    <w:rsid w:val="4C6E7486"/>
    <w:rsid w:val="4CB77D21"/>
    <w:rsid w:val="4D393F5F"/>
    <w:rsid w:val="4D571125"/>
    <w:rsid w:val="4D5A3CDA"/>
    <w:rsid w:val="4DD400B2"/>
    <w:rsid w:val="4EAA09C0"/>
    <w:rsid w:val="4F135E89"/>
    <w:rsid w:val="4F2E6B6E"/>
    <w:rsid w:val="4F611FA4"/>
    <w:rsid w:val="4F63227D"/>
    <w:rsid w:val="4F9B2317"/>
    <w:rsid w:val="4FA72C0C"/>
    <w:rsid w:val="50466AB7"/>
    <w:rsid w:val="50F976F7"/>
    <w:rsid w:val="51926A1B"/>
    <w:rsid w:val="52637A82"/>
    <w:rsid w:val="527B5387"/>
    <w:rsid w:val="52B4109F"/>
    <w:rsid w:val="53B362E0"/>
    <w:rsid w:val="53C1756D"/>
    <w:rsid w:val="544552E3"/>
    <w:rsid w:val="54BD026B"/>
    <w:rsid w:val="55C40EA0"/>
    <w:rsid w:val="5605680A"/>
    <w:rsid w:val="560C59C6"/>
    <w:rsid w:val="561B7063"/>
    <w:rsid w:val="567B3A1B"/>
    <w:rsid w:val="568E4CF4"/>
    <w:rsid w:val="56B90642"/>
    <w:rsid w:val="56DE0D16"/>
    <w:rsid w:val="56E85883"/>
    <w:rsid w:val="570047CB"/>
    <w:rsid w:val="5747714D"/>
    <w:rsid w:val="574F1755"/>
    <w:rsid w:val="575679D2"/>
    <w:rsid w:val="576333FC"/>
    <w:rsid w:val="58BB10D6"/>
    <w:rsid w:val="58EF5E25"/>
    <w:rsid w:val="58FB53D7"/>
    <w:rsid w:val="591E58EA"/>
    <w:rsid w:val="59335F68"/>
    <w:rsid w:val="59F836A3"/>
    <w:rsid w:val="59FE4C74"/>
    <w:rsid w:val="5A866FF7"/>
    <w:rsid w:val="5AA82E65"/>
    <w:rsid w:val="5AFF28C5"/>
    <w:rsid w:val="5B222F7F"/>
    <w:rsid w:val="5BD234D5"/>
    <w:rsid w:val="5BFA46FF"/>
    <w:rsid w:val="5BFB4290"/>
    <w:rsid w:val="5C124E90"/>
    <w:rsid w:val="5C59780A"/>
    <w:rsid w:val="5C5B172B"/>
    <w:rsid w:val="5CD51098"/>
    <w:rsid w:val="5DB16EA6"/>
    <w:rsid w:val="5E133820"/>
    <w:rsid w:val="5E6700D9"/>
    <w:rsid w:val="5E816E27"/>
    <w:rsid w:val="5E817392"/>
    <w:rsid w:val="5F294BB2"/>
    <w:rsid w:val="5FB852B6"/>
    <w:rsid w:val="5FCB666D"/>
    <w:rsid w:val="605A1E8A"/>
    <w:rsid w:val="607E43A5"/>
    <w:rsid w:val="60C615B1"/>
    <w:rsid w:val="60D701B1"/>
    <w:rsid w:val="613D7279"/>
    <w:rsid w:val="61806B77"/>
    <w:rsid w:val="61857AB4"/>
    <w:rsid w:val="61A56B29"/>
    <w:rsid w:val="61F304FF"/>
    <w:rsid w:val="62457700"/>
    <w:rsid w:val="62464205"/>
    <w:rsid w:val="62AD4EB5"/>
    <w:rsid w:val="636E0BC5"/>
    <w:rsid w:val="63AF42C2"/>
    <w:rsid w:val="6403785B"/>
    <w:rsid w:val="642002C9"/>
    <w:rsid w:val="64285C42"/>
    <w:rsid w:val="646D0C78"/>
    <w:rsid w:val="64842DD7"/>
    <w:rsid w:val="652874E7"/>
    <w:rsid w:val="65CF467C"/>
    <w:rsid w:val="65F048D3"/>
    <w:rsid w:val="66134F01"/>
    <w:rsid w:val="663522BE"/>
    <w:rsid w:val="66417EBF"/>
    <w:rsid w:val="673373DE"/>
    <w:rsid w:val="67661A84"/>
    <w:rsid w:val="67696D2B"/>
    <w:rsid w:val="67AF71E8"/>
    <w:rsid w:val="67B83763"/>
    <w:rsid w:val="67DF2395"/>
    <w:rsid w:val="680815E0"/>
    <w:rsid w:val="681E603B"/>
    <w:rsid w:val="68243042"/>
    <w:rsid w:val="6842567C"/>
    <w:rsid w:val="684A4BDA"/>
    <w:rsid w:val="684D1908"/>
    <w:rsid w:val="685D3400"/>
    <w:rsid w:val="68B04AF5"/>
    <w:rsid w:val="68E81692"/>
    <w:rsid w:val="690B7659"/>
    <w:rsid w:val="69AF31EE"/>
    <w:rsid w:val="69FB2508"/>
    <w:rsid w:val="6A4868BF"/>
    <w:rsid w:val="6A78244B"/>
    <w:rsid w:val="6AE62048"/>
    <w:rsid w:val="6B8E66B8"/>
    <w:rsid w:val="6BC7168B"/>
    <w:rsid w:val="6C746319"/>
    <w:rsid w:val="6C8C1389"/>
    <w:rsid w:val="6CC101D1"/>
    <w:rsid w:val="6CFB3AFF"/>
    <w:rsid w:val="6D823C28"/>
    <w:rsid w:val="6DAA5B5C"/>
    <w:rsid w:val="6DB83FA3"/>
    <w:rsid w:val="6DBC0F7A"/>
    <w:rsid w:val="6E2A554B"/>
    <w:rsid w:val="6F826253"/>
    <w:rsid w:val="6F8A067B"/>
    <w:rsid w:val="6FD13FED"/>
    <w:rsid w:val="702D77CF"/>
    <w:rsid w:val="70391A1E"/>
    <w:rsid w:val="703C4C55"/>
    <w:rsid w:val="703D64DE"/>
    <w:rsid w:val="70602B31"/>
    <w:rsid w:val="70A80E32"/>
    <w:rsid w:val="70E6799B"/>
    <w:rsid w:val="71167DAF"/>
    <w:rsid w:val="726C1C25"/>
    <w:rsid w:val="72C5056A"/>
    <w:rsid w:val="72CF6FB6"/>
    <w:rsid w:val="733653DE"/>
    <w:rsid w:val="736B7275"/>
    <w:rsid w:val="74102160"/>
    <w:rsid w:val="74FB6CD2"/>
    <w:rsid w:val="75C07C83"/>
    <w:rsid w:val="75D21F32"/>
    <w:rsid w:val="75E473F2"/>
    <w:rsid w:val="75F657F0"/>
    <w:rsid w:val="763D3EC5"/>
    <w:rsid w:val="76814E3F"/>
    <w:rsid w:val="76E91856"/>
    <w:rsid w:val="76F678F9"/>
    <w:rsid w:val="77904B71"/>
    <w:rsid w:val="77A76C57"/>
    <w:rsid w:val="77D46711"/>
    <w:rsid w:val="780C14A2"/>
    <w:rsid w:val="7843102C"/>
    <w:rsid w:val="787234B4"/>
    <w:rsid w:val="78D505C5"/>
    <w:rsid w:val="78DF2BF0"/>
    <w:rsid w:val="790319F0"/>
    <w:rsid w:val="7911327A"/>
    <w:rsid w:val="79565136"/>
    <w:rsid w:val="7A1F5A07"/>
    <w:rsid w:val="7A40657A"/>
    <w:rsid w:val="7A517160"/>
    <w:rsid w:val="7AAA606B"/>
    <w:rsid w:val="7B656A42"/>
    <w:rsid w:val="7B7934BC"/>
    <w:rsid w:val="7B7D6A07"/>
    <w:rsid w:val="7C040E6D"/>
    <w:rsid w:val="7C24753A"/>
    <w:rsid w:val="7C2A332A"/>
    <w:rsid w:val="7C4040FE"/>
    <w:rsid w:val="7C962B24"/>
    <w:rsid w:val="7C9C1A10"/>
    <w:rsid w:val="7CA20A94"/>
    <w:rsid w:val="7CA54866"/>
    <w:rsid w:val="7CB51E4D"/>
    <w:rsid w:val="7D2F1070"/>
    <w:rsid w:val="7D662C87"/>
    <w:rsid w:val="7E8E59D6"/>
    <w:rsid w:val="7EDE0D89"/>
    <w:rsid w:val="7EDE6852"/>
    <w:rsid w:val="7EEA05C4"/>
    <w:rsid w:val="7F2F744B"/>
    <w:rsid w:val="7F60731B"/>
    <w:rsid w:val="7FB1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7">
    <w:name w:val="heading 4"/>
    <w:basedOn w:val="1"/>
    <w:next w:val="8"/>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8">
    <w:name w:val="0说明正文"/>
    <w:basedOn w:val="9"/>
    <w:qFormat/>
    <w:uiPriority w:val="0"/>
    <w:pPr>
      <w:spacing w:beforeLines="50" w:afterLines="50" w:line="240" w:lineRule="auto"/>
      <w:ind w:firstLine="200"/>
    </w:pPr>
    <w:rPr>
      <w:sz w:val="21"/>
    </w:rPr>
  </w:style>
  <w:style w:type="paragraph" w:customStyle="1" w:styleId="9">
    <w:name w:val="样式 正文文本缩进 + 首行缩进:  2 字符"/>
    <w:basedOn w:val="3"/>
    <w:qFormat/>
    <w:uiPriority w:val="0"/>
    <w:pPr>
      <w:ind w:firstLine="420"/>
    </w:pPr>
    <w:rPr>
      <w:rFonts w:cs="宋体"/>
      <w:szCs w:val="20"/>
    </w:rPr>
  </w:style>
  <w:style w:type="paragraph" w:styleId="11">
    <w:name w:val="annotation text"/>
    <w:basedOn w:val="1"/>
    <w:link w:val="30"/>
    <w:qFormat/>
    <w:uiPriority w:val="0"/>
    <w:pPr>
      <w:jc w:val="left"/>
    </w:pPr>
  </w:style>
  <w:style w:type="paragraph" w:styleId="12">
    <w:name w:val="Balloon Text"/>
    <w:basedOn w:val="1"/>
    <w:link w:val="97"/>
    <w:qFormat/>
    <w:uiPriority w:val="99"/>
    <w:rPr>
      <w:rFonts w:ascii="Times New Roman" w:hAnsi="Times New Roman" w:eastAsia="宋体" w:cs="Times New Roman"/>
      <w:sz w:val="18"/>
      <w:szCs w:val="18"/>
    </w:rPr>
  </w:style>
  <w:style w:type="paragraph" w:styleId="13">
    <w:name w:val="footer"/>
    <w:basedOn w:val="1"/>
    <w:link w:val="99"/>
    <w:qFormat/>
    <w:uiPriority w:val="99"/>
    <w:pPr>
      <w:tabs>
        <w:tab w:val="center" w:pos="4153"/>
        <w:tab w:val="right" w:pos="8306"/>
      </w:tabs>
      <w:snapToGrid w:val="0"/>
      <w:jc w:val="left"/>
    </w:pPr>
    <w:rPr>
      <w:sz w:val="18"/>
    </w:rPr>
  </w:style>
  <w:style w:type="paragraph" w:styleId="14">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jc w:val="left"/>
    </w:pPr>
    <w:rPr>
      <w:rFonts w:cs="Times New Roman"/>
      <w:kern w:val="0"/>
      <w:sz w:val="24"/>
    </w:rPr>
  </w:style>
  <w:style w:type="paragraph" w:styleId="18">
    <w:name w:val="annotation subject"/>
    <w:basedOn w:val="11"/>
    <w:next w:val="11"/>
    <w:link w:val="31"/>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yperlink"/>
    <w:basedOn w:val="21"/>
    <w:qFormat/>
    <w:uiPriority w:val="99"/>
    <w:rPr>
      <w:color w:val="333333"/>
      <w:u w:val="none"/>
    </w:rPr>
  </w:style>
  <w:style w:type="character" w:styleId="26">
    <w:name w:val="annotation reference"/>
    <w:basedOn w:val="21"/>
    <w:qFormat/>
    <w:uiPriority w:val="0"/>
    <w:rPr>
      <w:sz w:val="21"/>
      <w:szCs w:val="21"/>
    </w:rPr>
  </w:style>
  <w:style w:type="character" w:customStyle="1" w:styleId="27">
    <w:name w:val="font21"/>
    <w:basedOn w:val="21"/>
    <w:qFormat/>
    <w:uiPriority w:val="0"/>
    <w:rPr>
      <w:rFonts w:hint="default" w:ascii="Times New Roman" w:hAnsi="Times New Roman" w:cs="Times New Roman"/>
      <w:color w:val="000000"/>
      <w:sz w:val="21"/>
      <w:szCs w:val="21"/>
      <w:u w:val="none"/>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1"/>
    <w:link w:val="11"/>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8"/>
    <w:qFormat/>
    <w:uiPriority w:val="0"/>
    <w:rPr>
      <w:rFonts w:asciiTheme="minorHAnsi" w:hAnsiTheme="minorHAnsi" w:eastAsiaTheme="minorEastAsia" w:cstheme="minorBidi"/>
      <w:b/>
      <w:bCs/>
      <w:kern w:val="2"/>
      <w:sz w:val="21"/>
      <w:szCs w:val="24"/>
    </w:rPr>
  </w:style>
  <w:style w:type="character" w:customStyle="1" w:styleId="32">
    <w:name w:val="NormalCharacter"/>
    <w:qFormat/>
    <w:uiPriority w:val="0"/>
  </w:style>
  <w:style w:type="character" w:customStyle="1" w:styleId="33">
    <w:name w:val="hs1"/>
    <w:basedOn w:val="21"/>
    <w:qFormat/>
    <w:uiPriority w:val="0"/>
    <w:rPr>
      <w:shd w:val="clear" w:color="auto" w:fill="D4D4D4"/>
    </w:rPr>
  </w:style>
  <w:style w:type="character" w:customStyle="1" w:styleId="34">
    <w:name w:val="sp04"/>
    <w:basedOn w:val="21"/>
    <w:qFormat/>
    <w:uiPriority w:val="0"/>
  </w:style>
  <w:style w:type="character" w:customStyle="1" w:styleId="35">
    <w:name w:val="pic-txt"/>
    <w:basedOn w:val="21"/>
    <w:qFormat/>
    <w:uiPriority w:val="0"/>
  </w:style>
  <w:style w:type="character" w:customStyle="1" w:styleId="36">
    <w:name w:val="pic-txt1"/>
    <w:basedOn w:val="21"/>
    <w:qFormat/>
    <w:uiPriority w:val="0"/>
  </w:style>
  <w:style w:type="character" w:customStyle="1" w:styleId="37">
    <w:name w:val="pic-txt2"/>
    <w:basedOn w:val="21"/>
    <w:qFormat/>
    <w:uiPriority w:val="0"/>
  </w:style>
  <w:style w:type="character" w:customStyle="1" w:styleId="38">
    <w:name w:val="pic-txt3"/>
    <w:basedOn w:val="21"/>
    <w:qFormat/>
    <w:uiPriority w:val="0"/>
  </w:style>
  <w:style w:type="character" w:customStyle="1" w:styleId="39">
    <w:name w:val="red"/>
    <w:basedOn w:val="21"/>
    <w:qFormat/>
    <w:uiPriority w:val="0"/>
    <w:rPr>
      <w:color w:val="FF0000"/>
    </w:rPr>
  </w:style>
  <w:style w:type="character" w:customStyle="1" w:styleId="40">
    <w:name w:val="zh"/>
    <w:basedOn w:val="21"/>
    <w:qFormat/>
    <w:uiPriority w:val="0"/>
    <w:rPr>
      <w:color w:val="747474"/>
      <w:sz w:val="18"/>
      <w:szCs w:val="18"/>
      <w:bdr w:val="single" w:color="DBDBDB" w:sz="6" w:space="0"/>
      <w:shd w:val="clear" w:color="auto" w:fill="FFFFFF"/>
    </w:rPr>
  </w:style>
  <w:style w:type="character" w:customStyle="1" w:styleId="41">
    <w:name w:val="mm"/>
    <w:basedOn w:val="21"/>
    <w:qFormat/>
    <w:uiPriority w:val="0"/>
    <w:rPr>
      <w:color w:val="747474"/>
      <w:sz w:val="18"/>
      <w:szCs w:val="18"/>
      <w:bdr w:val="single" w:color="DBDBDB" w:sz="6" w:space="0"/>
      <w:shd w:val="clear" w:color="auto" w:fill="FFFFFF"/>
    </w:rPr>
  </w:style>
  <w:style w:type="character" w:customStyle="1" w:styleId="42">
    <w:name w:val="ic02"/>
    <w:basedOn w:val="21"/>
    <w:qFormat/>
    <w:uiPriority w:val="0"/>
  </w:style>
  <w:style w:type="character" w:customStyle="1" w:styleId="43">
    <w:name w:val="icon01"/>
    <w:basedOn w:val="21"/>
    <w:qFormat/>
    <w:uiPriority w:val="0"/>
  </w:style>
  <w:style w:type="character" w:customStyle="1" w:styleId="44">
    <w:name w:val="icon011"/>
    <w:basedOn w:val="21"/>
    <w:qFormat/>
    <w:uiPriority w:val="0"/>
  </w:style>
  <w:style w:type="character" w:customStyle="1" w:styleId="45">
    <w:name w:val="icon012"/>
    <w:basedOn w:val="21"/>
    <w:qFormat/>
    <w:uiPriority w:val="0"/>
  </w:style>
  <w:style w:type="character" w:customStyle="1" w:styleId="46">
    <w:name w:val="icon013"/>
    <w:basedOn w:val="21"/>
    <w:qFormat/>
    <w:uiPriority w:val="0"/>
  </w:style>
  <w:style w:type="character" w:customStyle="1" w:styleId="47">
    <w:name w:val="icon02"/>
    <w:basedOn w:val="21"/>
    <w:qFormat/>
    <w:uiPriority w:val="0"/>
  </w:style>
  <w:style w:type="character" w:customStyle="1" w:styleId="48">
    <w:name w:val="icon021"/>
    <w:basedOn w:val="21"/>
    <w:qFormat/>
    <w:uiPriority w:val="0"/>
  </w:style>
  <w:style w:type="character" w:customStyle="1" w:styleId="49">
    <w:name w:val="icon022"/>
    <w:basedOn w:val="21"/>
    <w:qFormat/>
    <w:uiPriority w:val="0"/>
  </w:style>
  <w:style w:type="character" w:customStyle="1" w:styleId="50">
    <w:name w:val="icon023"/>
    <w:basedOn w:val="21"/>
    <w:qFormat/>
    <w:uiPriority w:val="0"/>
  </w:style>
  <w:style w:type="character" w:customStyle="1" w:styleId="51">
    <w:name w:val="icon03"/>
    <w:basedOn w:val="21"/>
    <w:qFormat/>
    <w:uiPriority w:val="0"/>
  </w:style>
  <w:style w:type="character" w:customStyle="1" w:styleId="52">
    <w:name w:val="icon031"/>
    <w:basedOn w:val="21"/>
    <w:qFormat/>
    <w:uiPriority w:val="0"/>
  </w:style>
  <w:style w:type="character" w:customStyle="1" w:styleId="53">
    <w:name w:val="icon032"/>
    <w:basedOn w:val="21"/>
    <w:qFormat/>
    <w:uiPriority w:val="0"/>
  </w:style>
  <w:style w:type="character" w:customStyle="1" w:styleId="54">
    <w:name w:val="icon033"/>
    <w:basedOn w:val="21"/>
    <w:qFormat/>
    <w:uiPriority w:val="0"/>
  </w:style>
  <w:style w:type="character" w:customStyle="1" w:styleId="55">
    <w:name w:val="icon05"/>
    <w:basedOn w:val="21"/>
    <w:qFormat/>
    <w:uiPriority w:val="0"/>
  </w:style>
  <w:style w:type="character" w:customStyle="1" w:styleId="56">
    <w:name w:val="icon051"/>
    <w:basedOn w:val="21"/>
    <w:qFormat/>
    <w:uiPriority w:val="0"/>
  </w:style>
  <w:style w:type="character" w:customStyle="1" w:styleId="57">
    <w:name w:val="icon052"/>
    <w:basedOn w:val="21"/>
    <w:qFormat/>
    <w:uiPriority w:val="0"/>
  </w:style>
  <w:style w:type="character" w:customStyle="1" w:styleId="58">
    <w:name w:val="icon04"/>
    <w:basedOn w:val="21"/>
    <w:qFormat/>
    <w:uiPriority w:val="0"/>
  </w:style>
  <w:style w:type="character" w:customStyle="1" w:styleId="59">
    <w:name w:val="icon041"/>
    <w:basedOn w:val="21"/>
    <w:qFormat/>
    <w:uiPriority w:val="0"/>
  </w:style>
  <w:style w:type="character" w:customStyle="1" w:styleId="60">
    <w:name w:val="icon042"/>
    <w:basedOn w:val="21"/>
    <w:qFormat/>
    <w:uiPriority w:val="0"/>
  </w:style>
  <w:style w:type="character" w:customStyle="1" w:styleId="61">
    <w:name w:val="nr"/>
    <w:basedOn w:val="21"/>
    <w:qFormat/>
    <w:uiPriority w:val="0"/>
    <w:rPr>
      <w:color w:val="666666"/>
      <w:u w:val="none"/>
      <w:shd w:val="clear" w:color="auto" w:fill="F3F3F3"/>
    </w:rPr>
  </w:style>
  <w:style w:type="character" w:customStyle="1" w:styleId="62">
    <w:name w:val="org"/>
    <w:basedOn w:val="21"/>
    <w:qFormat/>
    <w:uiPriority w:val="0"/>
    <w:rPr>
      <w:shd w:val="clear" w:color="auto" w:fill="FF9138"/>
    </w:rPr>
  </w:style>
  <w:style w:type="character" w:customStyle="1" w:styleId="63">
    <w:name w:val="ic01"/>
    <w:basedOn w:val="21"/>
    <w:qFormat/>
    <w:uiPriority w:val="0"/>
  </w:style>
  <w:style w:type="character" w:customStyle="1" w:styleId="64">
    <w:name w:val="qz_icon01"/>
    <w:basedOn w:val="21"/>
    <w:qFormat/>
    <w:uiPriority w:val="0"/>
  </w:style>
  <w:style w:type="character" w:customStyle="1" w:styleId="65">
    <w:name w:val="qz_icon02"/>
    <w:basedOn w:val="21"/>
    <w:qFormat/>
    <w:uiPriority w:val="0"/>
  </w:style>
  <w:style w:type="character" w:customStyle="1" w:styleId="66">
    <w:name w:val="time"/>
    <w:basedOn w:val="21"/>
    <w:qFormat/>
    <w:uiPriority w:val="0"/>
    <w:rPr>
      <w:color w:val="FFFFFF"/>
      <w:sz w:val="18"/>
      <w:szCs w:val="18"/>
      <w:shd w:val="clear" w:color="auto" w:fill="82CFFF"/>
    </w:rPr>
  </w:style>
  <w:style w:type="character" w:customStyle="1" w:styleId="67">
    <w:name w:val="under"/>
    <w:basedOn w:val="21"/>
    <w:qFormat/>
    <w:uiPriority w:val="0"/>
    <w:rPr>
      <w:color w:val="FFFFFF"/>
    </w:rPr>
  </w:style>
  <w:style w:type="character" w:customStyle="1" w:styleId="68">
    <w:name w:val="hs2"/>
    <w:basedOn w:val="21"/>
    <w:qFormat/>
    <w:uiPriority w:val="0"/>
    <w:rPr>
      <w:color w:val="999999"/>
    </w:rPr>
  </w:style>
  <w:style w:type="character" w:customStyle="1" w:styleId="69">
    <w:name w:val="sp01"/>
    <w:basedOn w:val="21"/>
    <w:qFormat/>
    <w:uiPriority w:val="0"/>
  </w:style>
  <w:style w:type="character" w:customStyle="1" w:styleId="70">
    <w:name w:val="sp03"/>
    <w:basedOn w:val="21"/>
    <w:qFormat/>
    <w:uiPriority w:val="0"/>
  </w:style>
  <w:style w:type="character" w:customStyle="1" w:styleId="71">
    <w:name w:val="sp02"/>
    <w:basedOn w:val="21"/>
    <w:qFormat/>
    <w:uiPriority w:val="0"/>
  </w:style>
  <w:style w:type="character" w:customStyle="1" w:styleId="72">
    <w:name w:val="blue1"/>
    <w:basedOn w:val="21"/>
    <w:qFormat/>
    <w:uiPriority w:val="0"/>
    <w:rPr>
      <w:color w:val="444CCC"/>
      <w:bdr w:val="single" w:color="444CCC" w:sz="6" w:space="0"/>
    </w:rPr>
  </w:style>
  <w:style w:type="character" w:customStyle="1" w:styleId="73">
    <w:name w:val="red4"/>
    <w:basedOn w:val="21"/>
    <w:qFormat/>
    <w:uiPriority w:val="0"/>
    <w:rPr>
      <w:color w:val="FF0000"/>
    </w:rPr>
  </w:style>
  <w:style w:type="character" w:customStyle="1" w:styleId="74">
    <w:name w:val="icon0110"/>
    <w:basedOn w:val="21"/>
    <w:qFormat/>
    <w:uiPriority w:val="0"/>
  </w:style>
  <w:style w:type="character" w:customStyle="1" w:styleId="75">
    <w:name w:val="icon0111"/>
    <w:basedOn w:val="21"/>
    <w:qFormat/>
    <w:uiPriority w:val="0"/>
  </w:style>
  <w:style w:type="character" w:customStyle="1" w:styleId="76">
    <w:name w:val="icon0112"/>
    <w:basedOn w:val="21"/>
    <w:qFormat/>
    <w:uiPriority w:val="0"/>
  </w:style>
  <w:style w:type="character" w:customStyle="1" w:styleId="77">
    <w:name w:val="icon0113"/>
    <w:basedOn w:val="21"/>
    <w:qFormat/>
    <w:uiPriority w:val="0"/>
  </w:style>
  <w:style w:type="character" w:customStyle="1" w:styleId="78">
    <w:name w:val="icon024"/>
    <w:basedOn w:val="21"/>
    <w:qFormat/>
    <w:uiPriority w:val="0"/>
  </w:style>
  <w:style w:type="character" w:customStyle="1" w:styleId="79">
    <w:name w:val="icon025"/>
    <w:basedOn w:val="21"/>
    <w:qFormat/>
    <w:uiPriority w:val="0"/>
  </w:style>
  <w:style w:type="character" w:customStyle="1" w:styleId="80">
    <w:name w:val="icon026"/>
    <w:basedOn w:val="21"/>
    <w:qFormat/>
    <w:uiPriority w:val="0"/>
  </w:style>
  <w:style w:type="character" w:customStyle="1" w:styleId="81">
    <w:name w:val="icon034"/>
    <w:basedOn w:val="21"/>
    <w:qFormat/>
    <w:uiPriority w:val="0"/>
  </w:style>
  <w:style w:type="character" w:customStyle="1" w:styleId="82">
    <w:name w:val="icon035"/>
    <w:basedOn w:val="21"/>
    <w:qFormat/>
    <w:uiPriority w:val="0"/>
  </w:style>
  <w:style w:type="character" w:customStyle="1" w:styleId="83">
    <w:name w:val="icon036"/>
    <w:basedOn w:val="21"/>
    <w:qFormat/>
    <w:uiPriority w:val="0"/>
  </w:style>
  <w:style w:type="character" w:customStyle="1" w:styleId="84">
    <w:name w:val="icon043"/>
    <w:basedOn w:val="21"/>
    <w:qFormat/>
    <w:uiPriority w:val="0"/>
  </w:style>
  <w:style w:type="character" w:customStyle="1" w:styleId="85">
    <w:name w:val="icon044"/>
    <w:basedOn w:val="21"/>
    <w:qFormat/>
    <w:uiPriority w:val="0"/>
  </w:style>
  <w:style w:type="character" w:customStyle="1" w:styleId="86">
    <w:name w:val="icon053"/>
    <w:basedOn w:val="21"/>
    <w:qFormat/>
    <w:uiPriority w:val="0"/>
  </w:style>
  <w:style w:type="character" w:customStyle="1" w:styleId="87">
    <w:name w:val="icon054"/>
    <w:basedOn w:val="21"/>
    <w:qFormat/>
    <w:uiPriority w:val="0"/>
  </w:style>
  <w:style w:type="character" w:customStyle="1" w:styleId="88">
    <w:name w:val="org1"/>
    <w:basedOn w:val="21"/>
    <w:qFormat/>
    <w:uiPriority w:val="0"/>
    <w:rPr>
      <w:shd w:val="clear" w:color="auto" w:fill="FF9138"/>
    </w:rPr>
  </w:style>
  <w:style w:type="character" w:customStyle="1" w:styleId="89">
    <w:name w:val="hs11"/>
    <w:basedOn w:val="21"/>
    <w:qFormat/>
    <w:uiPriority w:val="0"/>
    <w:rPr>
      <w:shd w:val="clear" w:color="auto" w:fill="D4D4D4"/>
    </w:rPr>
  </w:style>
  <w:style w:type="character" w:customStyle="1" w:styleId="90">
    <w:name w:val="icon015"/>
    <w:basedOn w:val="21"/>
    <w:qFormat/>
    <w:uiPriority w:val="0"/>
  </w:style>
  <w:style w:type="character" w:customStyle="1" w:styleId="91">
    <w:name w:val="icon016"/>
    <w:basedOn w:val="21"/>
    <w:qFormat/>
    <w:uiPriority w:val="0"/>
  </w:style>
  <w:style w:type="character" w:customStyle="1" w:styleId="92">
    <w:name w:val="icon017"/>
    <w:basedOn w:val="21"/>
    <w:qFormat/>
    <w:uiPriority w:val="0"/>
  </w:style>
  <w:style w:type="character" w:customStyle="1" w:styleId="93">
    <w:name w:val="icon018"/>
    <w:basedOn w:val="21"/>
    <w:qFormat/>
    <w:uiPriority w:val="0"/>
  </w:style>
  <w:style w:type="character" w:customStyle="1" w:styleId="94">
    <w:name w:val="icon027"/>
    <w:basedOn w:val="21"/>
    <w:qFormat/>
    <w:uiPriority w:val="0"/>
  </w:style>
  <w:style w:type="character" w:customStyle="1" w:styleId="95">
    <w:name w:val="icon019"/>
    <w:basedOn w:val="21"/>
    <w:qFormat/>
    <w:uiPriority w:val="0"/>
  </w:style>
  <w:style w:type="character" w:customStyle="1" w:styleId="96">
    <w:name w:val="font11"/>
    <w:basedOn w:val="21"/>
    <w:qFormat/>
    <w:uiPriority w:val="0"/>
    <w:rPr>
      <w:rFonts w:hint="default" w:ascii="Times New Roman" w:hAnsi="Times New Roman" w:cs="Times New Roman"/>
      <w:color w:val="000000"/>
      <w:sz w:val="24"/>
      <w:szCs w:val="24"/>
      <w:u w:val="none"/>
    </w:rPr>
  </w:style>
  <w:style w:type="character" w:customStyle="1" w:styleId="97">
    <w:name w:val="批注框文本 字符"/>
    <w:link w:val="12"/>
    <w:qFormat/>
    <w:uiPriority w:val="99"/>
    <w:rPr>
      <w:kern w:val="2"/>
      <w:sz w:val="18"/>
      <w:szCs w:val="18"/>
    </w:rPr>
  </w:style>
  <w:style w:type="character" w:customStyle="1" w:styleId="98">
    <w:name w:val="页眉 字符1"/>
    <w:basedOn w:val="21"/>
    <w:link w:val="14"/>
    <w:qFormat/>
    <w:uiPriority w:val="99"/>
    <w:rPr>
      <w:rFonts w:asciiTheme="minorHAnsi" w:hAnsiTheme="minorHAnsi" w:eastAsiaTheme="minorEastAsia" w:cstheme="minorBidi"/>
      <w:kern w:val="2"/>
      <w:sz w:val="18"/>
      <w:szCs w:val="18"/>
    </w:rPr>
  </w:style>
  <w:style w:type="character" w:customStyle="1" w:styleId="99">
    <w:name w:val="页脚 字符1"/>
    <w:basedOn w:val="21"/>
    <w:link w:val="13"/>
    <w:qFormat/>
    <w:uiPriority w:val="99"/>
    <w:rPr>
      <w:rFonts w:asciiTheme="minorHAnsi" w:hAnsiTheme="minorHAnsi" w:eastAsiaTheme="minorEastAsia" w:cstheme="minorBidi"/>
      <w:kern w:val="2"/>
      <w:sz w:val="18"/>
      <w:szCs w:val="24"/>
    </w:rPr>
  </w:style>
  <w:style w:type="character" w:customStyle="1" w:styleId="100">
    <w:name w:val="页脚 字符"/>
    <w:qFormat/>
    <w:uiPriority w:val="99"/>
    <w:rPr>
      <w:sz w:val="18"/>
      <w:szCs w:val="18"/>
    </w:rPr>
  </w:style>
  <w:style w:type="character" w:customStyle="1" w:styleId="101">
    <w:name w:val="页眉 字符"/>
    <w:qFormat/>
    <w:uiPriority w:val="99"/>
    <w:rPr>
      <w:sz w:val="18"/>
      <w:szCs w:val="18"/>
    </w:rPr>
  </w:style>
  <w:style w:type="paragraph" w:customStyle="1" w:styleId="102">
    <w:name w:val="_Style 101"/>
    <w:basedOn w:val="3"/>
    <w:next w:val="1"/>
    <w:link w:val="103"/>
    <w:qFormat/>
    <w:uiPriority w:val="0"/>
    <w:pPr>
      <w:ind w:firstLine="420"/>
    </w:pPr>
    <w:rPr>
      <w:rFonts w:ascii="Times New Roman" w:hAnsi="Times New Roman" w:eastAsia="宋体" w:cs="Times New Roman"/>
      <w:kern w:val="0"/>
    </w:rPr>
  </w:style>
  <w:style w:type="character" w:customStyle="1" w:styleId="103">
    <w:name w:val="正文文本首行缩进 2 字符"/>
    <w:link w:val="102"/>
    <w:qFormat/>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1549</Words>
  <Characters>1725</Characters>
  <Lines>27</Lines>
  <Paragraphs>7</Paragraphs>
  <TotalTime>3</TotalTime>
  <ScaleCrop>false</ScaleCrop>
  <LinksUpToDate>false</LinksUpToDate>
  <CharactersWithSpaces>1729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2018-06-15T08:44:00Z</dcterms:created>
  <dc:creator>Administrator</dc:creator>
  <cp:lastModifiedBy>lenovo</cp:lastModifiedBy>
  <cp:lastPrinted>2021-04-27T03:22:00Z</cp:lastPrinted>
  <dcterms:modified xsi:type="dcterms:W3CDTF">2022-11-15T06:39:24Z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6E73B9410721463EBF3D38F160467691</vt:lpwstr>
  </property>
</Properties>
</file>