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eastAsia="仿宋"/>
          <w:b/>
          <w:bCs/>
          <w:kern w:val="0"/>
          <w:sz w:val="36"/>
          <w:szCs w:val="36"/>
        </w:rPr>
      </w:pPr>
    </w:p>
    <w:p>
      <w:pPr>
        <w:widowControl/>
        <w:ind w:firstLine="723"/>
        <w:rPr>
          <w:rFonts w:eastAsia="仿宋"/>
          <w:b/>
          <w:bCs/>
          <w:color w:val="000000"/>
          <w:kern w:val="0"/>
          <w:sz w:val="36"/>
          <w:szCs w:val="36"/>
        </w:rPr>
      </w:pPr>
    </w:p>
    <w:p>
      <w:pPr>
        <w:pStyle w:val="2"/>
        <w:ind w:firstLine="480"/>
      </w:pPr>
    </w:p>
    <w:p/>
    <w:p>
      <w:pPr>
        <w:pStyle w:val="2"/>
        <w:ind w:firstLine="480"/>
      </w:pPr>
    </w:p>
    <w:p/>
    <w:p>
      <w:pPr>
        <w:pStyle w:val="2"/>
        <w:ind w:firstLine="480"/>
      </w:pPr>
    </w:p>
    <w:p>
      <w:pPr>
        <w:widowControl/>
        <w:jc w:val="center"/>
        <w:rPr>
          <w:rFonts w:eastAsia="黑体"/>
          <w:sz w:val="44"/>
          <w:szCs w:val="44"/>
        </w:rPr>
      </w:pPr>
      <w:r>
        <w:rPr>
          <w:rFonts w:hint="eastAsia" w:eastAsia="黑体"/>
          <w:sz w:val="44"/>
          <w:szCs w:val="44"/>
        </w:rPr>
        <w:t>泰宁县2022年第二批次土地征收成片开发方案</w:t>
      </w:r>
    </w:p>
    <w:p>
      <w:pPr>
        <w:widowControl/>
        <w:jc w:val="center"/>
        <w:rPr>
          <w:rFonts w:eastAsia="黑体"/>
          <w:sz w:val="36"/>
          <w:szCs w:val="36"/>
        </w:rPr>
      </w:pPr>
      <w:r>
        <w:rPr>
          <w:rFonts w:hint="eastAsia" w:eastAsia="黑体"/>
          <w:sz w:val="36"/>
          <w:szCs w:val="36"/>
        </w:rPr>
        <w:t>（南会村文化活动中心西侧地块）</w:t>
      </w:r>
    </w:p>
    <w:p>
      <w:pPr>
        <w:widowControl/>
        <w:jc w:val="center"/>
        <w:rPr>
          <w:rFonts w:eastAsia="黑体"/>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widowControl/>
        <w:ind w:firstLine="723"/>
        <w:jc w:val="center"/>
        <w:rPr>
          <w:rFonts w:eastAsia="仿宋"/>
          <w:b/>
          <w:bCs/>
          <w:color w:val="000000"/>
          <w:kern w:val="0"/>
          <w:sz w:val="36"/>
          <w:szCs w:val="36"/>
        </w:rPr>
      </w:pPr>
    </w:p>
    <w:p>
      <w:pPr>
        <w:pStyle w:val="2"/>
        <w:ind w:firstLine="480"/>
      </w:pPr>
    </w:p>
    <w:p/>
    <w:p>
      <w:pPr>
        <w:pStyle w:val="2"/>
        <w:ind w:firstLine="480"/>
      </w:pPr>
    </w:p>
    <w:p/>
    <w:p>
      <w:pPr>
        <w:pStyle w:val="2"/>
        <w:ind w:firstLine="480"/>
      </w:pPr>
    </w:p>
    <w:p/>
    <w:p>
      <w:pPr>
        <w:pStyle w:val="2"/>
        <w:ind w:firstLine="480"/>
      </w:pPr>
    </w:p>
    <w:p>
      <w:pPr>
        <w:ind w:firstLine="560"/>
      </w:pPr>
    </w:p>
    <w:p>
      <w:pPr>
        <w:widowControl/>
        <w:ind w:firstLine="560"/>
        <w:jc w:val="center"/>
        <w:rPr>
          <w:sz w:val="28"/>
          <w:szCs w:val="28"/>
        </w:rPr>
      </w:pPr>
      <w:r>
        <w:rPr>
          <w:rFonts w:hint="eastAsia"/>
          <w:color w:val="000000"/>
          <w:kern w:val="0"/>
          <w:sz w:val="28"/>
          <w:szCs w:val="28"/>
        </w:rPr>
        <w:t>泰宁县</w:t>
      </w:r>
      <w:r>
        <w:rPr>
          <w:color w:val="000000"/>
          <w:kern w:val="0"/>
          <w:sz w:val="28"/>
          <w:szCs w:val="28"/>
        </w:rPr>
        <w:t>人民政府</w:t>
      </w:r>
    </w:p>
    <w:p>
      <w:pPr>
        <w:widowControl/>
        <w:ind w:firstLine="560"/>
        <w:jc w:val="center"/>
        <w:rPr>
          <w:rFonts w:eastAsia="仿宋"/>
          <w:b/>
          <w:bCs/>
          <w:kern w:val="0"/>
          <w:sz w:val="28"/>
          <w:szCs w:val="28"/>
        </w:rPr>
        <w:sectPr>
          <w:headerReference r:id="rId4" w:type="first"/>
          <w:footerReference r:id="rId7" w:type="first"/>
          <w:footerReference r:id="rId5" w:type="default"/>
          <w:headerReference r:id="rId3" w:type="even"/>
          <w:footerReference r:id="rId6" w:type="even"/>
          <w:pgSz w:w="11906" w:h="16838"/>
          <w:pgMar w:top="0" w:right="1134" w:bottom="1134" w:left="1134" w:header="851" w:footer="992" w:gutter="0"/>
          <w:pgNumType w:fmt="upperRoman" w:start="1"/>
          <w:cols w:space="720" w:num="1"/>
          <w:docGrid w:type="lines" w:linePitch="312" w:charSpace="0"/>
        </w:sectPr>
      </w:pPr>
      <w:r>
        <w:rPr>
          <w:bCs/>
          <w:color w:val="000000"/>
          <w:kern w:val="0"/>
          <w:sz w:val="28"/>
          <w:szCs w:val="28"/>
        </w:rPr>
        <w:t>2022年6月</w:t>
      </w:r>
    </w:p>
    <w:sdt>
      <w:sdtPr>
        <w:rPr>
          <w:rFonts w:ascii="Times New Roman" w:hAnsi="Times New Roman" w:eastAsia="仿宋" w:cs="Times New Roman"/>
          <w:b/>
          <w:bCs/>
          <w:kern w:val="44"/>
          <w:sz w:val="28"/>
          <w:szCs w:val="28"/>
        </w:rPr>
        <w:id w:val="147461879"/>
        <w:docPartObj>
          <w:docPartGallery w:val="Table of Contents"/>
          <w:docPartUnique/>
        </w:docPartObj>
      </w:sdtPr>
      <w:sdtEndPr>
        <w:rPr>
          <w:rFonts w:cs="Times New Roman" w:asciiTheme="minorEastAsia" w:hAnsiTheme="minorEastAsia" w:eastAsiaTheme="minorEastAsia"/>
          <w:b/>
          <w:bCs/>
          <w:kern w:val="44"/>
          <w:sz w:val="28"/>
          <w:szCs w:val="28"/>
        </w:rPr>
      </w:sdtEndPr>
      <w:sdtContent>
        <w:p>
          <w:pPr>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目    录</w:t>
          </w:r>
        </w:p>
        <w:p>
          <w:pPr>
            <w:pStyle w:val="15"/>
            <w:tabs>
              <w:tab w:val="right" w:leader="dot" w:pos="8306"/>
            </w:tabs>
            <w:rPr>
              <w:sz w:val="28"/>
              <w:szCs w:val="28"/>
            </w:rPr>
          </w:pPr>
          <w:r>
            <w:rPr>
              <w:rFonts w:cs="Times New Roman" w:asciiTheme="minorEastAsia" w:hAnsiTheme="minorEastAsia"/>
              <w:bCs/>
              <w:sz w:val="28"/>
              <w:szCs w:val="28"/>
            </w:rPr>
            <w:fldChar w:fldCharType="begin"/>
          </w:r>
          <w:r>
            <w:rPr>
              <w:rFonts w:cs="Times New Roman" w:asciiTheme="minorEastAsia" w:hAnsiTheme="minorEastAsia"/>
              <w:bCs/>
              <w:sz w:val="28"/>
              <w:szCs w:val="28"/>
            </w:rPr>
            <w:instrText xml:space="preserve">TOC \o "1-2" \h \u </w:instrText>
          </w:r>
          <w:r>
            <w:rPr>
              <w:rFonts w:cs="Times New Roman" w:asciiTheme="minorEastAsia" w:hAnsiTheme="minorEastAsia"/>
              <w:bCs/>
              <w:sz w:val="28"/>
              <w:szCs w:val="28"/>
            </w:rPr>
            <w:fldChar w:fldCharType="separate"/>
          </w:r>
          <w:r>
            <w:fldChar w:fldCharType="begin"/>
          </w:r>
          <w:r>
            <w:instrText xml:space="preserve"> HYPERLINK \l "_Toc32536" </w:instrText>
          </w:r>
          <w:r>
            <w:fldChar w:fldCharType="separate"/>
          </w:r>
          <w:r>
            <w:rPr>
              <w:rFonts w:ascii="Times New Roman" w:hAnsi="Times New Roman" w:eastAsia="黑体" w:cs="Times New Roman"/>
              <w:bCs/>
              <w:sz w:val="28"/>
              <w:szCs w:val="28"/>
            </w:rPr>
            <w:t>一、概述</w:t>
          </w:r>
          <w:r>
            <w:rPr>
              <w:sz w:val="28"/>
              <w:szCs w:val="28"/>
            </w:rPr>
            <w:tab/>
          </w:r>
          <w:r>
            <w:rPr>
              <w:sz w:val="28"/>
              <w:szCs w:val="28"/>
            </w:rPr>
            <w:fldChar w:fldCharType="begin"/>
          </w:r>
          <w:r>
            <w:rPr>
              <w:sz w:val="28"/>
              <w:szCs w:val="28"/>
            </w:rPr>
            <w:instrText xml:space="preserve"> PAGEREF _Toc32536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6"/>
            <w:tabs>
              <w:tab w:val="right" w:leader="dot" w:pos="8306"/>
            </w:tabs>
            <w:rPr>
              <w:sz w:val="28"/>
              <w:szCs w:val="28"/>
            </w:rPr>
          </w:pPr>
          <w:r>
            <w:fldChar w:fldCharType="begin"/>
          </w:r>
          <w:r>
            <w:instrText xml:space="preserve"> HYPERLINK \l "_Toc2058" </w:instrText>
          </w:r>
          <w:r>
            <w:fldChar w:fldCharType="separate"/>
          </w:r>
          <w:r>
            <w:rPr>
              <w:rFonts w:ascii="Times New Roman" w:hAnsi="Times New Roman" w:cs="Times New Roman"/>
              <w:bCs/>
              <w:sz w:val="28"/>
              <w:szCs w:val="28"/>
            </w:rPr>
            <w:t>（一）编制背景</w:t>
          </w:r>
          <w:r>
            <w:rPr>
              <w:sz w:val="28"/>
              <w:szCs w:val="28"/>
            </w:rPr>
            <w:tab/>
          </w:r>
          <w:r>
            <w:rPr>
              <w:sz w:val="28"/>
              <w:szCs w:val="28"/>
            </w:rPr>
            <w:fldChar w:fldCharType="begin"/>
          </w:r>
          <w:r>
            <w:rPr>
              <w:sz w:val="28"/>
              <w:szCs w:val="28"/>
            </w:rPr>
            <w:instrText xml:space="preserve"> PAGEREF _Toc2058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6"/>
            <w:tabs>
              <w:tab w:val="right" w:leader="dot" w:pos="8306"/>
            </w:tabs>
            <w:rPr>
              <w:sz w:val="28"/>
              <w:szCs w:val="28"/>
            </w:rPr>
          </w:pPr>
          <w:r>
            <w:fldChar w:fldCharType="begin"/>
          </w:r>
          <w:r>
            <w:instrText xml:space="preserve"> HYPERLINK \l "_Toc16663" </w:instrText>
          </w:r>
          <w:r>
            <w:fldChar w:fldCharType="separate"/>
          </w:r>
          <w:r>
            <w:rPr>
              <w:rFonts w:ascii="Times New Roman" w:hAnsi="Times New Roman" w:cs="Times New Roman"/>
              <w:bCs/>
              <w:sz w:val="28"/>
              <w:szCs w:val="28"/>
            </w:rPr>
            <w:t>（</w:t>
          </w:r>
          <w:r>
            <w:rPr>
              <w:rFonts w:hint="eastAsia" w:ascii="Times New Roman" w:hAnsi="Times New Roman" w:cs="Times New Roman"/>
              <w:bCs/>
              <w:sz w:val="28"/>
              <w:szCs w:val="28"/>
            </w:rPr>
            <w:t>二</w:t>
          </w:r>
          <w:r>
            <w:rPr>
              <w:rFonts w:ascii="Times New Roman" w:hAnsi="Times New Roman" w:cs="Times New Roman"/>
              <w:bCs/>
              <w:sz w:val="28"/>
              <w:szCs w:val="28"/>
            </w:rPr>
            <w:t>）编制依据</w:t>
          </w:r>
          <w:r>
            <w:rPr>
              <w:sz w:val="28"/>
              <w:szCs w:val="28"/>
            </w:rPr>
            <w:tab/>
          </w:r>
          <w:r>
            <w:rPr>
              <w:sz w:val="28"/>
              <w:szCs w:val="28"/>
            </w:rPr>
            <w:fldChar w:fldCharType="begin"/>
          </w:r>
          <w:r>
            <w:rPr>
              <w:sz w:val="28"/>
              <w:szCs w:val="28"/>
            </w:rPr>
            <w:instrText xml:space="preserve"> PAGEREF _Toc16663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5"/>
            <w:tabs>
              <w:tab w:val="right" w:leader="dot" w:pos="8306"/>
            </w:tabs>
            <w:rPr>
              <w:sz w:val="28"/>
              <w:szCs w:val="28"/>
            </w:rPr>
          </w:pPr>
          <w:r>
            <w:fldChar w:fldCharType="begin"/>
          </w:r>
          <w:r>
            <w:instrText xml:space="preserve"> HYPERLINK \l "_Toc23537" </w:instrText>
          </w:r>
          <w:r>
            <w:fldChar w:fldCharType="separate"/>
          </w:r>
          <w:r>
            <w:rPr>
              <w:rFonts w:ascii="Times New Roman" w:hAnsi="Times New Roman" w:eastAsia="黑体" w:cs="Times New Roman"/>
              <w:bCs/>
              <w:kern w:val="44"/>
              <w:sz w:val="28"/>
              <w:szCs w:val="28"/>
            </w:rPr>
            <w:t>二、编制条件</w:t>
          </w:r>
          <w:r>
            <w:rPr>
              <w:sz w:val="28"/>
              <w:szCs w:val="28"/>
            </w:rPr>
            <w:tab/>
          </w:r>
          <w:r>
            <w:rPr>
              <w:sz w:val="28"/>
              <w:szCs w:val="28"/>
            </w:rPr>
            <w:fldChar w:fldCharType="begin"/>
          </w:r>
          <w:r>
            <w:rPr>
              <w:sz w:val="28"/>
              <w:szCs w:val="28"/>
            </w:rPr>
            <w:instrText xml:space="preserve"> PAGEREF _Toc23537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5"/>
            <w:tabs>
              <w:tab w:val="right" w:leader="dot" w:pos="8306"/>
            </w:tabs>
            <w:rPr>
              <w:sz w:val="28"/>
              <w:szCs w:val="28"/>
            </w:rPr>
          </w:pPr>
          <w:r>
            <w:fldChar w:fldCharType="begin"/>
          </w:r>
          <w:r>
            <w:instrText xml:space="preserve"> HYPERLINK \l "_Toc13389" </w:instrText>
          </w:r>
          <w:r>
            <w:fldChar w:fldCharType="separate"/>
          </w:r>
          <w:r>
            <w:rPr>
              <w:rFonts w:ascii="Times New Roman" w:hAnsi="Times New Roman" w:eastAsia="黑体" w:cs="Times New Roman"/>
              <w:bCs/>
              <w:sz w:val="28"/>
              <w:szCs w:val="28"/>
            </w:rPr>
            <w:t>三、基本情况</w:t>
          </w:r>
          <w:r>
            <w:rPr>
              <w:sz w:val="28"/>
              <w:szCs w:val="28"/>
            </w:rPr>
            <w:tab/>
          </w:r>
          <w:r>
            <w:rPr>
              <w:sz w:val="28"/>
              <w:szCs w:val="28"/>
            </w:rPr>
            <w:fldChar w:fldCharType="begin"/>
          </w:r>
          <w:r>
            <w:rPr>
              <w:sz w:val="28"/>
              <w:szCs w:val="28"/>
            </w:rPr>
            <w:instrText xml:space="preserve"> PAGEREF _Toc13389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306"/>
            </w:tabs>
            <w:rPr>
              <w:sz w:val="28"/>
              <w:szCs w:val="28"/>
            </w:rPr>
          </w:pPr>
          <w:r>
            <w:fldChar w:fldCharType="begin"/>
          </w:r>
          <w:r>
            <w:instrText xml:space="preserve"> HYPERLINK \l "_Toc32685" </w:instrText>
          </w:r>
          <w:r>
            <w:fldChar w:fldCharType="separate"/>
          </w:r>
          <w:r>
            <w:rPr>
              <w:rFonts w:ascii="Times New Roman" w:hAnsi="Times New Roman" w:cs="Times New Roman"/>
              <w:bCs/>
              <w:sz w:val="28"/>
              <w:szCs w:val="28"/>
            </w:rPr>
            <w:t>（一）区域位置</w:t>
          </w:r>
          <w:r>
            <w:rPr>
              <w:sz w:val="28"/>
              <w:szCs w:val="28"/>
            </w:rPr>
            <w:tab/>
          </w:r>
          <w:r>
            <w:rPr>
              <w:sz w:val="28"/>
              <w:szCs w:val="28"/>
            </w:rPr>
            <w:fldChar w:fldCharType="begin"/>
          </w:r>
          <w:r>
            <w:rPr>
              <w:sz w:val="28"/>
              <w:szCs w:val="28"/>
            </w:rPr>
            <w:instrText xml:space="preserve"> PAGEREF _Toc32685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306"/>
            </w:tabs>
            <w:rPr>
              <w:sz w:val="28"/>
              <w:szCs w:val="28"/>
            </w:rPr>
          </w:pPr>
          <w:r>
            <w:fldChar w:fldCharType="begin"/>
          </w:r>
          <w:r>
            <w:instrText xml:space="preserve"> HYPERLINK \l "_Toc29352" </w:instrText>
          </w:r>
          <w:r>
            <w:fldChar w:fldCharType="separate"/>
          </w:r>
          <w:r>
            <w:rPr>
              <w:rFonts w:ascii="Times New Roman" w:hAnsi="Times New Roman" w:cs="Times New Roman"/>
              <w:bCs/>
              <w:sz w:val="28"/>
              <w:szCs w:val="28"/>
            </w:rPr>
            <w:t>（二）方案范围</w:t>
          </w:r>
          <w:r>
            <w:rPr>
              <w:sz w:val="28"/>
              <w:szCs w:val="28"/>
            </w:rPr>
            <w:tab/>
          </w:r>
          <w:r>
            <w:rPr>
              <w:sz w:val="28"/>
              <w:szCs w:val="28"/>
            </w:rPr>
            <w:fldChar w:fldCharType="begin"/>
          </w:r>
          <w:r>
            <w:rPr>
              <w:sz w:val="28"/>
              <w:szCs w:val="28"/>
            </w:rPr>
            <w:instrText xml:space="preserve"> PAGEREF _Toc29352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306"/>
            </w:tabs>
            <w:rPr>
              <w:sz w:val="28"/>
              <w:szCs w:val="28"/>
            </w:rPr>
          </w:pPr>
          <w:r>
            <w:fldChar w:fldCharType="begin"/>
          </w:r>
          <w:r>
            <w:instrText xml:space="preserve"> HYPERLINK \l "_Toc25367" </w:instrText>
          </w:r>
          <w:r>
            <w:fldChar w:fldCharType="separate"/>
          </w:r>
          <w:r>
            <w:rPr>
              <w:rFonts w:ascii="Times New Roman" w:hAnsi="Times New Roman" w:cs="Times New Roman"/>
              <w:bCs/>
              <w:sz w:val="28"/>
              <w:szCs w:val="28"/>
            </w:rPr>
            <w:t>（三）用地条件</w:t>
          </w:r>
          <w:r>
            <w:rPr>
              <w:sz w:val="28"/>
              <w:szCs w:val="28"/>
            </w:rPr>
            <w:tab/>
          </w:r>
          <w:r>
            <w:rPr>
              <w:sz w:val="28"/>
              <w:szCs w:val="28"/>
            </w:rPr>
            <w:fldChar w:fldCharType="begin"/>
          </w:r>
          <w:r>
            <w:rPr>
              <w:sz w:val="28"/>
              <w:szCs w:val="28"/>
            </w:rPr>
            <w:instrText xml:space="preserve"> PAGEREF _Toc25367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306"/>
            </w:tabs>
            <w:rPr>
              <w:sz w:val="28"/>
              <w:szCs w:val="28"/>
            </w:rPr>
          </w:pPr>
          <w:r>
            <w:fldChar w:fldCharType="begin"/>
          </w:r>
          <w:r>
            <w:instrText xml:space="preserve"> HYPERLINK \l "_Toc7062" </w:instrText>
          </w:r>
          <w:r>
            <w:fldChar w:fldCharType="separate"/>
          </w:r>
          <w:r>
            <w:rPr>
              <w:rFonts w:ascii="Times New Roman" w:hAnsi="Times New Roman" w:cs="Times New Roman"/>
              <w:bCs/>
              <w:sz w:val="28"/>
              <w:szCs w:val="28"/>
            </w:rPr>
            <w:t>（</w:t>
          </w:r>
          <w:r>
            <w:rPr>
              <w:rFonts w:hint="eastAsia" w:ascii="Times New Roman" w:hAnsi="Times New Roman" w:cs="Times New Roman"/>
              <w:bCs/>
              <w:sz w:val="28"/>
              <w:szCs w:val="28"/>
            </w:rPr>
            <w:t>四</w:t>
          </w:r>
          <w:r>
            <w:rPr>
              <w:rFonts w:ascii="Times New Roman" w:hAnsi="Times New Roman" w:cs="Times New Roman"/>
              <w:bCs/>
              <w:sz w:val="28"/>
              <w:szCs w:val="28"/>
            </w:rPr>
            <w:t>）实施周期</w:t>
          </w:r>
          <w:r>
            <w:rPr>
              <w:sz w:val="28"/>
              <w:szCs w:val="28"/>
            </w:rPr>
            <w:tab/>
          </w:r>
          <w:r>
            <w:rPr>
              <w:sz w:val="28"/>
              <w:szCs w:val="28"/>
            </w:rPr>
            <w:fldChar w:fldCharType="begin"/>
          </w:r>
          <w:r>
            <w:rPr>
              <w:sz w:val="28"/>
              <w:szCs w:val="28"/>
            </w:rPr>
            <w:instrText xml:space="preserve"> PAGEREF _Toc7062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306"/>
            </w:tabs>
            <w:rPr>
              <w:sz w:val="28"/>
              <w:szCs w:val="28"/>
            </w:rPr>
          </w:pPr>
          <w:r>
            <w:fldChar w:fldCharType="begin"/>
          </w:r>
          <w:r>
            <w:instrText xml:space="preserve"> HYPERLINK \l "_Toc25312" </w:instrText>
          </w:r>
          <w:r>
            <w:fldChar w:fldCharType="separate"/>
          </w:r>
          <w:r>
            <w:rPr>
              <w:rFonts w:hint="eastAsia" w:ascii="Times New Roman" w:hAnsi="Times New Roman" w:eastAsia="黑体" w:cs="Times New Roman"/>
              <w:bCs/>
              <w:sz w:val="28"/>
              <w:szCs w:val="28"/>
            </w:rPr>
            <w:t>四</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rPr>
            <w:t>主要用途、实现功能及公益性用地比例</w:t>
          </w:r>
          <w:r>
            <w:rPr>
              <w:sz w:val="28"/>
              <w:szCs w:val="28"/>
            </w:rPr>
            <w:tab/>
          </w:r>
          <w:r>
            <w:rPr>
              <w:sz w:val="28"/>
              <w:szCs w:val="28"/>
            </w:rPr>
            <w:fldChar w:fldCharType="begin"/>
          </w:r>
          <w:r>
            <w:rPr>
              <w:sz w:val="28"/>
              <w:szCs w:val="28"/>
            </w:rPr>
            <w:instrText xml:space="preserve"> PAGEREF _Toc25312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306"/>
            </w:tabs>
            <w:rPr>
              <w:sz w:val="28"/>
              <w:szCs w:val="28"/>
            </w:rPr>
          </w:pPr>
          <w:r>
            <w:fldChar w:fldCharType="begin"/>
          </w:r>
          <w:r>
            <w:instrText xml:space="preserve"> HYPERLINK \l "_Toc20511" </w:instrText>
          </w:r>
          <w:r>
            <w:fldChar w:fldCharType="separate"/>
          </w:r>
          <w:r>
            <w:rPr>
              <w:rFonts w:hint="eastAsia" w:ascii="Times New Roman" w:hAnsi="Times New Roman" w:eastAsia="黑体" w:cs="Times New Roman"/>
              <w:bCs/>
              <w:sz w:val="28"/>
              <w:szCs w:val="28"/>
            </w:rPr>
            <w:t>五</w:t>
          </w:r>
          <w:r>
            <w:rPr>
              <w:rFonts w:ascii="Times New Roman" w:hAnsi="Times New Roman" w:eastAsia="黑体" w:cs="Times New Roman"/>
              <w:bCs/>
              <w:sz w:val="28"/>
              <w:szCs w:val="28"/>
            </w:rPr>
            <w:t>、合法合规性分析</w:t>
          </w:r>
          <w:r>
            <w:rPr>
              <w:sz w:val="28"/>
              <w:szCs w:val="28"/>
            </w:rPr>
            <w:tab/>
          </w:r>
          <w:r>
            <w:rPr>
              <w:sz w:val="28"/>
              <w:szCs w:val="28"/>
            </w:rPr>
            <w:fldChar w:fldCharType="begin"/>
          </w:r>
          <w:r>
            <w:rPr>
              <w:sz w:val="28"/>
              <w:szCs w:val="28"/>
            </w:rPr>
            <w:instrText xml:space="preserve"> PAGEREF _Toc20511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306"/>
            </w:tabs>
            <w:rPr>
              <w:sz w:val="28"/>
              <w:szCs w:val="28"/>
            </w:rPr>
          </w:pPr>
          <w:r>
            <w:fldChar w:fldCharType="begin"/>
          </w:r>
          <w:r>
            <w:instrText xml:space="preserve"> HYPERLINK \l "_Toc16063" </w:instrText>
          </w:r>
          <w:r>
            <w:fldChar w:fldCharType="separate"/>
          </w:r>
          <w:r>
            <w:rPr>
              <w:rFonts w:hint="eastAsia" w:ascii="Times New Roman" w:hAnsi="Times New Roman" w:eastAsia="黑体" w:cs="Times New Roman"/>
              <w:bCs/>
              <w:sz w:val="28"/>
              <w:szCs w:val="28"/>
            </w:rPr>
            <w:t>六</w:t>
          </w:r>
          <w:r>
            <w:rPr>
              <w:rFonts w:ascii="Times New Roman" w:hAnsi="Times New Roman" w:eastAsia="黑体" w:cs="Times New Roman"/>
              <w:bCs/>
              <w:sz w:val="28"/>
              <w:szCs w:val="28"/>
            </w:rPr>
            <w:t>、结论</w:t>
          </w:r>
          <w:r>
            <w:rPr>
              <w:sz w:val="28"/>
              <w:szCs w:val="28"/>
            </w:rPr>
            <w:tab/>
          </w:r>
          <w:r>
            <w:rPr>
              <w:sz w:val="28"/>
              <w:szCs w:val="28"/>
            </w:rPr>
            <w:fldChar w:fldCharType="begin"/>
          </w:r>
          <w:r>
            <w:rPr>
              <w:sz w:val="28"/>
              <w:szCs w:val="28"/>
            </w:rPr>
            <w:instrText xml:space="preserve"> PAGEREF _Toc16063 \h </w:instrText>
          </w:r>
          <w:r>
            <w:rPr>
              <w:sz w:val="28"/>
              <w:szCs w:val="28"/>
            </w:rPr>
            <w:fldChar w:fldCharType="separate"/>
          </w:r>
          <w:r>
            <w:rPr>
              <w:sz w:val="28"/>
              <w:szCs w:val="28"/>
            </w:rPr>
            <w:t>4</w:t>
          </w:r>
          <w:r>
            <w:rPr>
              <w:sz w:val="28"/>
              <w:szCs w:val="28"/>
            </w:rPr>
            <w:fldChar w:fldCharType="end"/>
          </w:r>
          <w:r>
            <w:rPr>
              <w:sz w:val="28"/>
              <w:szCs w:val="28"/>
            </w:rPr>
            <w:fldChar w:fldCharType="end"/>
          </w:r>
        </w:p>
        <w:p>
          <w:pPr>
            <w:rPr>
              <w:rFonts w:cs="Times New Roman" w:asciiTheme="minorEastAsia" w:hAnsiTheme="minorEastAsia"/>
              <w:b/>
              <w:bCs/>
              <w:kern w:val="44"/>
              <w:sz w:val="28"/>
              <w:szCs w:val="28"/>
            </w:rPr>
          </w:pPr>
          <w:r>
            <w:rPr>
              <w:rFonts w:cs="Times New Roman" w:asciiTheme="minorEastAsia" w:hAnsiTheme="minorEastAsia"/>
              <w:bCs/>
              <w:sz w:val="28"/>
              <w:szCs w:val="28"/>
            </w:rPr>
            <w:fldChar w:fldCharType="end"/>
          </w:r>
        </w:p>
      </w:sdtContent>
    </w:sdt>
    <w:p>
      <w:pPr>
        <w:rPr>
          <w:rFonts w:ascii="Times New Roman" w:hAnsi="Times New Roman" w:eastAsia="黑体" w:cs="Times New Roman"/>
          <w:b/>
          <w:bCs/>
          <w:kern w:val="44"/>
          <w:sz w:val="28"/>
          <w:szCs w:val="28"/>
        </w:rPr>
        <w:sectPr>
          <w:footerReference r:id="rId8" w:type="default"/>
          <w:pgSz w:w="11906" w:h="16838"/>
          <w:pgMar w:top="1440" w:right="1800" w:bottom="1440" w:left="1800" w:header="851" w:footer="992" w:gutter="0"/>
          <w:pgNumType w:start="1"/>
          <w:cols w:space="425" w:num="1"/>
          <w:docGrid w:type="lines" w:linePitch="312" w:charSpace="0"/>
        </w:sectPr>
      </w:pPr>
    </w:p>
    <w:p>
      <w:pPr>
        <w:pStyle w:val="4"/>
        <w:spacing w:before="120" w:after="120" w:line="360" w:lineRule="auto"/>
        <w:rPr>
          <w:rFonts w:ascii="Times New Roman" w:hAnsi="Times New Roman" w:eastAsia="黑体" w:cs="Times New Roman"/>
          <w:b w:val="0"/>
          <w:bCs/>
          <w:sz w:val="32"/>
          <w:szCs w:val="32"/>
        </w:rPr>
      </w:pPr>
      <w:bookmarkStart w:id="0" w:name="_Toc32536"/>
      <w:r>
        <w:rPr>
          <w:rFonts w:ascii="Times New Roman" w:hAnsi="Times New Roman" w:eastAsia="黑体" w:cs="Times New Roman"/>
          <w:b w:val="0"/>
          <w:bCs/>
          <w:sz w:val="32"/>
          <w:szCs w:val="32"/>
        </w:rPr>
        <w:t>一、概述</w:t>
      </w:r>
      <w:bookmarkEnd w:id="0"/>
    </w:p>
    <w:p>
      <w:pPr>
        <w:pStyle w:val="5"/>
        <w:spacing w:before="0" w:after="0" w:line="240" w:lineRule="auto"/>
        <w:ind w:firstLine="600" w:firstLineChars="200"/>
        <w:rPr>
          <w:rFonts w:ascii="Times New Roman" w:hAnsi="Times New Roman" w:cs="Times New Roman"/>
          <w:b w:val="0"/>
          <w:bCs/>
          <w:sz w:val="30"/>
          <w:szCs w:val="30"/>
        </w:rPr>
      </w:pPr>
      <w:bookmarkStart w:id="1" w:name="_Toc2058"/>
      <w:r>
        <w:rPr>
          <w:rFonts w:ascii="Times New Roman" w:hAnsi="Times New Roman" w:cs="Times New Roman"/>
          <w:b w:val="0"/>
          <w:bCs/>
          <w:sz w:val="30"/>
          <w:szCs w:val="30"/>
        </w:rPr>
        <w:t>（一）编制背景</w:t>
      </w:r>
      <w:bookmarkEnd w:id="1"/>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本次成片开发项目位于福建省</w:t>
      </w:r>
      <w:r>
        <w:rPr>
          <w:rFonts w:hint="eastAsia" w:ascii="Times New Roman" w:hAnsi="Times New Roman" w:eastAsia="仿宋" w:cs="Times New Roman"/>
          <w:sz w:val="28"/>
          <w:szCs w:val="28"/>
        </w:rPr>
        <w:t>三明市泰宁县杉城镇</w:t>
      </w:r>
      <w:r>
        <w:rPr>
          <w:rFonts w:ascii="Times New Roman" w:hAnsi="Times New Roman" w:eastAsia="仿宋" w:cs="Times New Roman"/>
          <w:sz w:val="28"/>
          <w:szCs w:val="28"/>
        </w:rPr>
        <w:t>，</w:t>
      </w:r>
      <w:r>
        <w:rPr>
          <w:rFonts w:hint="eastAsia" w:ascii="Times New Roman" w:hAnsi="Times New Roman" w:eastAsia="仿宋" w:cs="Times New Roman"/>
          <w:sz w:val="28"/>
          <w:szCs w:val="28"/>
        </w:rPr>
        <w:t>成片开发总</w:t>
      </w:r>
      <w:r>
        <w:rPr>
          <w:rFonts w:ascii="Times New Roman" w:hAnsi="Times New Roman" w:eastAsia="仿宋" w:cs="Times New Roman"/>
          <w:sz w:val="28"/>
          <w:szCs w:val="28"/>
        </w:rPr>
        <w:t>面积</w:t>
      </w:r>
      <w:r>
        <w:rPr>
          <w:rFonts w:hint="eastAsia" w:ascii="Times New Roman" w:hAnsi="Times New Roman" w:eastAsia="仿宋" w:cs="Times New Roman"/>
          <w:sz w:val="28"/>
          <w:szCs w:val="28"/>
        </w:rPr>
        <w:t>14.</w:t>
      </w:r>
      <w:r>
        <w:rPr>
          <w:rFonts w:ascii="Times New Roman" w:hAnsi="Times New Roman" w:eastAsia="仿宋" w:cs="Times New Roman"/>
          <w:sz w:val="28"/>
          <w:szCs w:val="28"/>
        </w:rPr>
        <w:t>5525</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。衔接国民经济和社会发展规划、</w:t>
      </w:r>
      <w:r>
        <w:rPr>
          <w:rFonts w:hint="eastAsia" w:ascii="Times New Roman" w:hAnsi="Times New Roman" w:eastAsia="仿宋" w:cs="Times New Roman"/>
          <w:sz w:val="28"/>
          <w:szCs w:val="28"/>
        </w:rPr>
        <w:t>国民经济和社会发展年度计划</w:t>
      </w:r>
      <w:r>
        <w:rPr>
          <w:rFonts w:ascii="Times New Roman" w:hAnsi="Times New Roman" w:eastAsia="仿宋" w:cs="Times New Roman"/>
          <w:sz w:val="28"/>
          <w:szCs w:val="28"/>
        </w:rPr>
        <w:t>、土地利用</w:t>
      </w:r>
      <w:r>
        <w:rPr>
          <w:rFonts w:hint="eastAsia" w:ascii="Times New Roman" w:hAnsi="Times New Roman" w:eastAsia="仿宋" w:cs="Times New Roman"/>
          <w:sz w:val="28"/>
          <w:szCs w:val="28"/>
        </w:rPr>
        <w:t>总体</w:t>
      </w:r>
      <w:r>
        <w:rPr>
          <w:rFonts w:ascii="Times New Roman" w:hAnsi="Times New Roman" w:eastAsia="仿宋" w:cs="Times New Roman"/>
          <w:sz w:val="28"/>
          <w:szCs w:val="28"/>
        </w:rPr>
        <w:t>规划、城市总体规划、控制性详细规划，编制</w:t>
      </w:r>
      <w:r>
        <w:rPr>
          <w:rFonts w:hint="eastAsia" w:ascii="Times New Roman" w:hAnsi="Times New Roman" w:eastAsia="仿宋" w:cs="Times New Roman"/>
          <w:sz w:val="28"/>
          <w:szCs w:val="28"/>
        </w:rPr>
        <w:t>《泰宁县2022年第二批次土地征收成片开发方案（南会村文化活动中心西侧地块）</w:t>
      </w:r>
      <w:r>
        <w:rPr>
          <w:rFonts w:ascii="Times New Roman" w:hAnsi="Times New Roman" w:eastAsia="仿宋" w:cs="Times New Roman"/>
          <w:sz w:val="28"/>
          <w:szCs w:val="28"/>
        </w:rPr>
        <w:t>》。</w:t>
      </w:r>
    </w:p>
    <w:p>
      <w:pPr>
        <w:pStyle w:val="5"/>
        <w:spacing w:before="0" w:after="0" w:line="240" w:lineRule="auto"/>
        <w:ind w:firstLine="600" w:firstLineChars="200"/>
        <w:rPr>
          <w:rFonts w:ascii="Times New Roman" w:hAnsi="Times New Roman" w:cs="Times New Roman"/>
          <w:b w:val="0"/>
          <w:bCs/>
          <w:sz w:val="30"/>
          <w:szCs w:val="30"/>
        </w:rPr>
      </w:pPr>
      <w:bookmarkStart w:id="2" w:name="_Toc16663"/>
      <w:r>
        <w:rPr>
          <w:rFonts w:ascii="Times New Roman" w:hAnsi="Times New Roman" w:cs="Times New Roman"/>
          <w:b w:val="0"/>
          <w:bCs/>
          <w:sz w:val="30"/>
          <w:szCs w:val="30"/>
        </w:rPr>
        <w:t>（</w:t>
      </w:r>
      <w:r>
        <w:rPr>
          <w:rFonts w:hint="eastAsia" w:ascii="Times New Roman" w:hAnsi="Times New Roman" w:cs="Times New Roman"/>
          <w:b w:val="0"/>
          <w:bCs/>
          <w:sz w:val="30"/>
          <w:szCs w:val="30"/>
        </w:rPr>
        <w:t>二</w:t>
      </w:r>
      <w:r>
        <w:rPr>
          <w:rFonts w:ascii="Times New Roman" w:hAnsi="Times New Roman" w:cs="Times New Roman"/>
          <w:b w:val="0"/>
          <w:bCs/>
          <w:sz w:val="30"/>
          <w:szCs w:val="30"/>
        </w:rPr>
        <w:t>）编制依据</w:t>
      </w:r>
      <w:bookmarkEnd w:id="2"/>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1、《中华人民共和国土地管理法》（2019年修正版）；</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2、《自然资源部关于印发〈土地征收成片开发标准（试行）〉的通知》（自然资规〔2020〕5号）；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3、《中共中央办公厅 国务院办公厅印发〈关于在国土空间规划中统筹划定落实三条控制线〉的指导意见》（厅字〔2019〕48 号）；</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w:t>
      </w:r>
      <w:r>
        <w:rPr>
          <w:rFonts w:hint="eastAsia" w:ascii="Times New Roman" w:hAnsi="Times New Roman" w:eastAsia="仿宋" w:cs="Times New Roman"/>
          <w:sz w:val="28"/>
          <w:szCs w:val="28"/>
        </w:rPr>
        <w:t>、《中共中央办公厅国务院〈关于建立国土空间规划体系并监督实施的若干意见〉》（中发〔2019〕18 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5</w:t>
      </w:r>
      <w:r>
        <w:rPr>
          <w:rFonts w:ascii="Times New Roman" w:hAnsi="Times New Roman" w:eastAsia="仿宋" w:cs="Times New Roman"/>
          <w:sz w:val="28"/>
          <w:szCs w:val="28"/>
        </w:rPr>
        <w:t>、《福建省自然资源厅关于印发〈福建省土地征收成片开发方案报批实施细则（试行）〉的通知》（闽自然资发〔2021〕3号）；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6</w:t>
      </w:r>
      <w:r>
        <w:rPr>
          <w:rFonts w:ascii="Times New Roman" w:hAnsi="Times New Roman" w:eastAsia="仿宋" w:cs="Times New Roman"/>
          <w:sz w:val="28"/>
          <w:szCs w:val="28"/>
        </w:rPr>
        <w:t>、《福建省自然资源厅关于印发〈福建省土地征收成片开发方案编制参考指南（试行）〉的通知》（闽自然资发〔2021〕6号）；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7</w:t>
      </w:r>
      <w:r>
        <w:rPr>
          <w:rFonts w:ascii="Times New Roman" w:hAnsi="Times New Roman" w:eastAsia="仿宋" w:cs="Times New Roman"/>
          <w:sz w:val="28"/>
          <w:szCs w:val="28"/>
        </w:rPr>
        <w:t>、《自然资源部办公厅关于印发〈国土空间调查、规划、用途管制用地用海分类指南（试行）〉》（自然资办发〔2020〕51号）；</w:t>
      </w:r>
    </w:p>
    <w:p>
      <w:pPr>
        <w:pStyle w:val="2"/>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8</w:t>
      </w:r>
      <w:r>
        <w:rPr>
          <w:rFonts w:ascii="Times New Roman" w:hAnsi="Times New Roman" w:eastAsia="仿宋" w:cs="Times New Roman"/>
          <w:sz w:val="28"/>
          <w:szCs w:val="28"/>
        </w:rPr>
        <w:t>、《</w:t>
      </w:r>
      <w:r>
        <w:rPr>
          <w:rFonts w:hint="eastAsia" w:ascii="Times New Roman" w:hAnsi="Times New Roman" w:eastAsia="仿宋" w:cs="Times New Roman"/>
          <w:sz w:val="28"/>
          <w:szCs w:val="28"/>
        </w:rPr>
        <w:t>泰宁县</w:t>
      </w:r>
      <w:r>
        <w:rPr>
          <w:rFonts w:ascii="Times New Roman" w:hAnsi="Times New Roman" w:eastAsia="仿宋" w:cs="Times New Roman"/>
          <w:sz w:val="28"/>
          <w:szCs w:val="28"/>
        </w:rPr>
        <w:t>国民经济和社会发展第十四个五年规划和二〇三五年远景目标纲要》；</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9</w:t>
      </w:r>
      <w:r>
        <w:rPr>
          <w:rFonts w:ascii="Times New Roman" w:hAnsi="Times New Roman" w:eastAsia="仿宋" w:cs="Times New Roman"/>
          <w:sz w:val="28"/>
          <w:szCs w:val="28"/>
        </w:rPr>
        <w:t>、</w:t>
      </w:r>
      <w:r>
        <w:rPr>
          <w:rFonts w:hint="eastAsia" w:ascii="Times New Roman" w:hAnsi="Times New Roman" w:eastAsia="仿宋" w:cs="Times New Roman"/>
          <w:sz w:val="28"/>
          <w:szCs w:val="28"/>
        </w:rPr>
        <w:t>《泰宁县南会村文化活动中心西侧地块控制性详细规划》</w:t>
      </w:r>
      <w:r>
        <w:rPr>
          <w:rFonts w:ascii="Times New Roman" w:hAnsi="Times New Roman" w:eastAsia="仿宋" w:cs="Times New Roman"/>
          <w:sz w:val="28"/>
          <w:szCs w:val="28"/>
        </w:rPr>
        <w:t>；</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0</w:t>
      </w:r>
      <w:r>
        <w:rPr>
          <w:rFonts w:ascii="Times New Roman" w:hAnsi="Times New Roman" w:eastAsia="仿宋" w:cs="Times New Roman"/>
          <w:sz w:val="28"/>
          <w:szCs w:val="28"/>
        </w:rPr>
        <w:t>、相关编制依据。</w:t>
      </w:r>
    </w:p>
    <w:p>
      <w:pPr>
        <w:keepNext/>
        <w:keepLines/>
        <w:spacing w:before="120" w:after="120" w:line="360" w:lineRule="auto"/>
        <w:outlineLvl w:val="0"/>
        <w:rPr>
          <w:rFonts w:ascii="Times New Roman" w:hAnsi="Times New Roman" w:eastAsia="黑体" w:cs="Times New Roman"/>
          <w:bCs/>
          <w:kern w:val="44"/>
          <w:sz w:val="32"/>
          <w:szCs w:val="32"/>
        </w:rPr>
      </w:pPr>
      <w:bookmarkStart w:id="3" w:name="_Toc14521"/>
      <w:bookmarkStart w:id="4" w:name="_Toc23537"/>
      <w:r>
        <w:rPr>
          <w:rFonts w:ascii="Times New Roman" w:hAnsi="Times New Roman" w:eastAsia="黑体" w:cs="Times New Roman"/>
          <w:bCs/>
          <w:kern w:val="44"/>
          <w:sz w:val="32"/>
          <w:szCs w:val="32"/>
        </w:rPr>
        <w:t>二、编制条件</w:t>
      </w:r>
      <w:bookmarkEnd w:id="3"/>
      <w:bookmarkEnd w:id="4"/>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截至</w:t>
      </w:r>
      <w:r>
        <w:rPr>
          <w:rFonts w:ascii="Times New Roman" w:hAnsi="Times New Roman" w:eastAsia="仿宋" w:cs="Times New Roman"/>
          <w:sz w:val="28"/>
          <w:szCs w:val="28"/>
        </w:rPr>
        <w:t>2022</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5</w:t>
      </w:r>
      <w:r>
        <w:rPr>
          <w:rFonts w:hint="eastAsia" w:ascii="Times New Roman" w:hAnsi="Times New Roman" w:eastAsia="仿宋" w:cs="Times New Roman"/>
          <w:sz w:val="28"/>
          <w:szCs w:val="28"/>
        </w:rPr>
        <w:t>月底，泰宁县批而未供土地面积</w:t>
      </w:r>
      <w:r>
        <w:rPr>
          <w:rFonts w:ascii="Times New Roman" w:hAnsi="Times New Roman" w:eastAsia="仿宋" w:cs="Times New Roman"/>
          <w:sz w:val="28"/>
          <w:szCs w:val="28"/>
        </w:rPr>
        <w:t>80.8831</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&lt;500</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年和</w:t>
      </w:r>
      <w:r>
        <w:rPr>
          <w:rFonts w:ascii="Times New Roman" w:hAnsi="Times New Roman" w:eastAsia="仿宋" w:cs="Times New Roman"/>
          <w:sz w:val="28"/>
          <w:szCs w:val="28"/>
        </w:rPr>
        <w:t>2021</w:t>
      </w:r>
      <w:r>
        <w:rPr>
          <w:rFonts w:hint="eastAsia" w:ascii="Times New Roman" w:hAnsi="Times New Roman" w:eastAsia="仿宋" w:cs="Times New Roman"/>
          <w:sz w:val="28"/>
          <w:szCs w:val="28"/>
        </w:rPr>
        <w:t>年，泰宁县批而未供土地处置率分别为23.90%和</w:t>
      </w:r>
      <w:r>
        <w:rPr>
          <w:rFonts w:ascii="Times New Roman" w:hAnsi="Times New Roman" w:eastAsia="仿宋" w:cs="Times New Roman"/>
          <w:sz w:val="28"/>
          <w:szCs w:val="28"/>
        </w:rPr>
        <w:t>21.40</w:t>
      </w:r>
      <w:r>
        <w:rPr>
          <w:rFonts w:hint="eastAsia" w:ascii="Times New Roman" w:hAnsi="Times New Roman" w:eastAsia="仿宋" w:cs="Times New Roman"/>
          <w:sz w:val="28"/>
          <w:szCs w:val="28"/>
        </w:rPr>
        <w:t>%，均</w:t>
      </w:r>
      <w:r>
        <w:rPr>
          <w:rFonts w:ascii="Times New Roman" w:hAnsi="Times New Roman" w:eastAsia="仿宋" w:cs="Times New Roman"/>
          <w:sz w:val="28"/>
          <w:szCs w:val="28"/>
        </w:rPr>
        <w:t>已超过15%</w:t>
      </w:r>
      <w:r>
        <w:rPr>
          <w:rFonts w:hint="eastAsia" w:ascii="Times New Roman" w:hAnsi="Times New Roman" w:eastAsia="仿宋" w:cs="Times New Roman"/>
          <w:sz w:val="28"/>
          <w:szCs w:val="28"/>
        </w:rPr>
        <w:t>的情况。</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截至</w:t>
      </w:r>
      <w:r>
        <w:rPr>
          <w:rFonts w:ascii="Times New Roman" w:hAnsi="Times New Roman" w:eastAsia="仿宋" w:cs="Times New Roman"/>
          <w:sz w:val="28"/>
          <w:szCs w:val="28"/>
        </w:rPr>
        <w:t>2022</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5</w:t>
      </w:r>
      <w:r>
        <w:rPr>
          <w:rFonts w:hint="eastAsia" w:ascii="Times New Roman" w:hAnsi="Times New Roman" w:eastAsia="仿宋" w:cs="Times New Roman"/>
          <w:sz w:val="28"/>
          <w:szCs w:val="28"/>
        </w:rPr>
        <w:t>月底，泰宁县闲置土地面积</w:t>
      </w:r>
      <w:r>
        <w:rPr>
          <w:rFonts w:ascii="Times New Roman" w:hAnsi="Times New Roman" w:eastAsia="仿宋" w:cs="Times New Roman"/>
          <w:sz w:val="28"/>
          <w:szCs w:val="28"/>
        </w:rPr>
        <w:t>0</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&lt;50</w:t>
      </w:r>
      <w:r>
        <w:rPr>
          <w:rFonts w:hint="eastAsia" w:ascii="Times New Roman" w:hAnsi="Times New Roman" w:eastAsia="仿宋" w:cs="Times New Roman"/>
          <w:sz w:val="28"/>
          <w:szCs w:val="28"/>
        </w:rPr>
        <w:t>公顷。</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年和</w:t>
      </w:r>
      <w:r>
        <w:rPr>
          <w:rFonts w:ascii="Times New Roman" w:hAnsi="Times New Roman" w:eastAsia="仿宋" w:cs="Times New Roman"/>
          <w:sz w:val="28"/>
          <w:szCs w:val="28"/>
        </w:rPr>
        <w:t>2021</w:t>
      </w:r>
      <w:r>
        <w:rPr>
          <w:rFonts w:hint="eastAsia" w:ascii="Times New Roman" w:hAnsi="Times New Roman" w:eastAsia="仿宋" w:cs="Times New Roman"/>
          <w:sz w:val="28"/>
          <w:szCs w:val="28"/>
        </w:rPr>
        <w:t>年，泰宁县闲置土地处置率分别为</w:t>
      </w:r>
      <w:r>
        <w:rPr>
          <w:rFonts w:ascii="Times New Roman" w:hAnsi="Times New Roman" w:eastAsia="仿宋" w:cs="Times New Roman"/>
          <w:sz w:val="28"/>
          <w:szCs w:val="28"/>
        </w:rPr>
        <w:t>100%</w:t>
      </w:r>
      <w:r>
        <w:rPr>
          <w:rFonts w:hint="eastAsia" w:ascii="Times New Roman" w:hAnsi="Times New Roman" w:eastAsia="仿宋" w:cs="Times New Roman"/>
          <w:sz w:val="28"/>
          <w:szCs w:val="28"/>
        </w:rPr>
        <w:t>和</w:t>
      </w:r>
      <w:r>
        <w:rPr>
          <w:rFonts w:ascii="Times New Roman" w:hAnsi="Times New Roman" w:eastAsia="仿宋" w:cs="Times New Roman"/>
          <w:sz w:val="28"/>
          <w:szCs w:val="28"/>
        </w:rPr>
        <w:t>100%</w:t>
      </w:r>
      <w:r>
        <w:rPr>
          <w:rFonts w:hint="eastAsia" w:ascii="Times New Roman" w:hAnsi="Times New Roman" w:eastAsia="仿宋" w:cs="Times New Roman"/>
          <w:sz w:val="28"/>
          <w:szCs w:val="28"/>
        </w:rPr>
        <w:t>，均</w:t>
      </w:r>
      <w:r>
        <w:rPr>
          <w:rFonts w:ascii="Times New Roman" w:hAnsi="Times New Roman" w:eastAsia="仿宋" w:cs="Times New Roman"/>
          <w:sz w:val="28"/>
          <w:szCs w:val="28"/>
        </w:rPr>
        <w:t>已超过15%</w:t>
      </w:r>
      <w:r>
        <w:rPr>
          <w:rFonts w:hint="eastAsia" w:ascii="Times New Roman" w:hAnsi="Times New Roman" w:eastAsia="仿宋" w:cs="Times New Roman"/>
          <w:sz w:val="28"/>
          <w:szCs w:val="28"/>
        </w:rPr>
        <w:t>的情况，符合《福建省土地征收成片开发方案报批实施细则（试行）》（以下简称《实施细则》）要求。</w:t>
      </w:r>
    </w:p>
    <w:p>
      <w:pPr>
        <w:pStyle w:val="4"/>
        <w:spacing w:before="120" w:after="120" w:line="360" w:lineRule="auto"/>
        <w:rPr>
          <w:rFonts w:ascii="Times New Roman" w:hAnsi="Times New Roman" w:eastAsia="黑体" w:cs="Times New Roman"/>
          <w:b w:val="0"/>
          <w:bCs/>
          <w:sz w:val="32"/>
          <w:szCs w:val="32"/>
        </w:rPr>
      </w:pPr>
      <w:bookmarkStart w:id="5" w:name="_Toc13389"/>
      <w:r>
        <w:rPr>
          <w:rFonts w:ascii="Times New Roman" w:hAnsi="Times New Roman" w:eastAsia="黑体" w:cs="Times New Roman"/>
          <w:b w:val="0"/>
          <w:bCs/>
          <w:sz w:val="32"/>
          <w:szCs w:val="32"/>
        </w:rPr>
        <w:t>三、基本情况</w:t>
      </w:r>
      <w:bookmarkEnd w:id="5"/>
    </w:p>
    <w:p>
      <w:pPr>
        <w:pStyle w:val="5"/>
        <w:spacing w:before="0" w:after="0" w:line="240" w:lineRule="auto"/>
        <w:ind w:firstLine="600" w:firstLineChars="200"/>
        <w:rPr>
          <w:rFonts w:ascii="Times New Roman" w:hAnsi="Times New Roman" w:cs="Times New Roman"/>
          <w:b w:val="0"/>
          <w:bCs/>
          <w:sz w:val="30"/>
          <w:szCs w:val="30"/>
        </w:rPr>
      </w:pPr>
      <w:bookmarkStart w:id="6" w:name="_Toc32685"/>
      <w:bookmarkStart w:id="7" w:name="_Toc31321"/>
      <w:r>
        <w:rPr>
          <w:rFonts w:ascii="Times New Roman" w:hAnsi="Times New Roman" w:cs="Times New Roman"/>
          <w:b w:val="0"/>
          <w:bCs/>
          <w:sz w:val="30"/>
          <w:szCs w:val="30"/>
        </w:rPr>
        <w:t>（一）区域位置</w:t>
      </w:r>
      <w:bookmarkEnd w:id="6"/>
      <w:bookmarkEnd w:id="7"/>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本方案片区位于莆田主城区的西南侧，涉及杉城镇南会村。距离泰宁县城约6公里。片区通过北侧的763县道来沟通县城与大金湖景区，对外交通便捷。</w:t>
      </w:r>
    </w:p>
    <w:p>
      <w:pPr>
        <w:pStyle w:val="5"/>
        <w:spacing w:before="0" w:after="0" w:line="240" w:lineRule="auto"/>
        <w:ind w:firstLine="600" w:firstLineChars="200"/>
        <w:rPr>
          <w:rFonts w:ascii="Times New Roman" w:hAnsi="Times New Roman" w:cs="Times New Roman"/>
          <w:b w:val="0"/>
          <w:bCs/>
          <w:sz w:val="30"/>
          <w:szCs w:val="30"/>
        </w:rPr>
      </w:pPr>
      <w:bookmarkStart w:id="8" w:name="_Toc30565"/>
      <w:bookmarkStart w:id="9" w:name="_Toc29352"/>
      <w:r>
        <w:rPr>
          <w:rFonts w:ascii="Times New Roman" w:hAnsi="Times New Roman" w:cs="Times New Roman"/>
          <w:b w:val="0"/>
          <w:bCs/>
          <w:sz w:val="30"/>
          <w:szCs w:val="30"/>
        </w:rPr>
        <w:t>（二）方案范围</w:t>
      </w:r>
      <w:bookmarkEnd w:id="8"/>
      <w:bookmarkEnd w:id="9"/>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本方案片区地块四至范围：东至南会村，北至763县道，西部和南部至自然山体。片区用地</w:t>
      </w:r>
      <w:r>
        <w:rPr>
          <w:rFonts w:ascii="Times New Roman" w:hAnsi="Times New Roman" w:eastAsia="仿宋" w:cs="Times New Roman"/>
          <w:sz w:val="28"/>
          <w:szCs w:val="28"/>
        </w:rPr>
        <w:t>南北长约500米，东西长约520米，用地总面积14.5525公顷</w:t>
      </w:r>
      <w:r>
        <w:rPr>
          <w:rFonts w:hint="eastAsia" w:ascii="Times New Roman" w:hAnsi="Times New Roman" w:eastAsia="仿宋" w:cs="Times New Roman"/>
          <w:sz w:val="28"/>
          <w:szCs w:val="28"/>
        </w:rPr>
        <w:t>。</w:t>
      </w:r>
    </w:p>
    <w:p>
      <w:pPr>
        <w:pStyle w:val="5"/>
        <w:spacing w:before="0" w:after="0" w:line="240" w:lineRule="auto"/>
        <w:ind w:firstLine="600" w:firstLineChars="200"/>
        <w:rPr>
          <w:rFonts w:ascii="Times New Roman" w:hAnsi="Times New Roman" w:cs="Times New Roman"/>
          <w:b w:val="0"/>
          <w:bCs/>
          <w:sz w:val="30"/>
          <w:szCs w:val="30"/>
        </w:rPr>
      </w:pPr>
      <w:bookmarkStart w:id="10" w:name="_Toc25367"/>
      <w:bookmarkStart w:id="11" w:name="_Toc13031"/>
      <w:r>
        <w:rPr>
          <w:rFonts w:ascii="Times New Roman" w:hAnsi="Times New Roman" w:cs="Times New Roman"/>
          <w:b w:val="0"/>
          <w:bCs/>
          <w:sz w:val="30"/>
          <w:szCs w:val="30"/>
        </w:rPr>
        <w:t>（三）用地条件</w:t>
      </w:r>
      <w:bookmarkEnd w:id="10"/>
      <w:bookmarkEnd w:id="11"/>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本方案涉及泰宁县杉城镇南会村，共1个镇1个村根据实地勘测调查，本方案成片开发范围总面积</w:t>
      </w:r>
      <w:r>
        <w:rPr>
          <w:rFonts w:ascii="Times New Roman" w:hAnsi="Times New Roman" w:eastAsia="仿宋" w:cs="Times New Roman"/>
          <w:sz w:val="28"/>
          <w:szCs w:val="28"/>
        </w:rPr>
        <w:t>14.5525</w:t>
      </w:r>
      <w:r>
        <w:rPr>
          <w:rFonts w:hint="eastAsia" w:ascii="Times New Roman" w:hAnsi="Times New Roman" w:eastAsia="仿宋" w:cs="Times New Roman"/>
          <w:sz w:val="28"/>
          <w:szCs w:val="28"/>
        </w:rPr>
        <w:t>公顷。其中，</w:t>
      </w:r>
      <w:r>
        <w:rPr>
          <w:rFonts w:ascii="Times New Roman" w:hAnsi="Times New Roman" w:eastAsia="仿宋" w:cs="Times New Roman"/>
          <w:sz w:val="28"/>
          <w:szCs w:val="28"/>
        </w:rPr>
        <w:t>农用地14.3989公顷（耕地1.9682公顷），建设用地0.0358公顷，未利用0.1178公顷</w:t>
      </w:r>
      <w:r>
        <w:rPr>
          <w:rFonts w:hint="eastAsia" w:ascii="Times New Roman" w:hAnsi="Times New Roman" w:eastAsia="仿宋" w:cs="Times New Roman"/>
          <w:sz w:val="28"/>
          <w:szCs w:val="28"/>
        </w:rPr>
        <w:t>。</w:t>
      </w:r>
    </w:p>
    <w:p>
      <w:pPr>
        <w:pStyle w:val="5"/>
        <w:spacing w:before="0" w:after="0" w:line="240" w:lineRule="auto"/>
        <w:ind w:firstLine="600" w:firstLineChars="200"/>
        <w:rPr>
          <w:rFonts w:ascii="Times New Roman" w:hAnsi="Times New Roman" w:eastAsia="仿宋" w:cs="Times New Roman"/>
          <w:sz w:val="28"/>
          <w:szCs w:val="28"/>
        </w:rPr>
      </w:pPr>
      <w:bookmarkStart w:id="12" w:name="_Toc10791"/>
      <w:bookmarkStart w:id="13" w:name="_Toc7062"/>
      <w:r>
        <w:rPr>
          <w:rFonts w:ascii="Times New Roman" w:hAnsi="Times New Roman" w:cs="Times New Roman"/>
          <w:b w:val="0"/>
          <w:bCs/>
          <w:sz w:val="30"/>
          <w:szCs w:val="30"/>
        </w:rPr>
        <w:t>（</w:t>
      </w:r>
      <w:r>
        <w:rPr>
          <w:rFonts w:hint="eastAsia" w:ascii="Times New Roman" w:hAnsi="Times New Roman" w:cs="Times New Roman"/>
          <w:b w:val="0"/>
          <w:bCs/>
          <w:sz w:val="30"/>
          <w:szCs w:val="30"/>
        </w:rPr>
        <w:t>四</w:t>
      </w:r>
      <w:r>
        <w:rPr>
          <w:rFonts w:ascii="Times New Roman" w:hAnsi="Times New Roman" w:cs="Times New Roman"/>
          <w:b w:val="0"/>
          <w:bCs/>
          <w:sz w:val="30"/>
          <w:szCs w:val="30"/>
        </w:rPr>
        <w:t>）实施周期</w:t>
      </w:r>
      <w:bookmarkEnd w:id="12"/>
      <w:bookmarkEnd w:id="13"/>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综合考虑当地社会经济发展状况等因素，本方案实施周期为</w:t>
      </w:r>
      <w:r>
        <w:rPr>
          <w:rFonts w:hint="eastAsia" w:ascii="Times New Roman" w:hAnsi="Times New Roman" w:eastAsia="仿宋" w:cs="Times New Roman"/>
          <w:sz w:val="28"/>
          <w:szCs w:val="28"/>
        </w:rPr>
        <w:t>3</w:t>
      </w:r>
      <w:r>
        <w:rPr>
          <w:rFonts w:ascii="Times New Roman" w:hAnsi="Times New Roman" w:eastAsia="仿宋" w:cs="Times New Roman"/>
          <w:sz w:val="28"/>
          <w:szCs w:val="28"/>
        </w:rPr>
        <w:t>年（2022年至2024年）。</w:t>
      </w:r>
    </w:p>
    <w:p>
      <w:pPr>
        <w:pStyle w:val="4"/>
        <w:spacing w:before="120" w:after="120" w:line="360" w:lineRule="auto"/>
        <w:rPr>
          <w:rFonts w:ascii="Times New Roman" w:hAnsi="Times New Roman" w:eastAsia="黑体" w:cs="Times New Roman"/>
          <w:b w:val="0"/>
          <w:bCs/>
          <w:sz w:val="32"/>
          <w:szCs w:val="32"/>
        </w:rPr>
      </w:pPr>
      <w:bookmarkStart w:id="14" w:name="_Toc25312"/>
      <w:r>
        <w:rPr>
          <w:rFonts w:hint="eastAsia" w:ascii="Times New Roman" w:hAnsi="Times New Roman" w:eastAsia="黑体" w:cs="Times New Roman"/>
          <w:b w:val="0"/>
          <w:bCs/>
          <w:sz w:val="32"/>
          <w:szCs w:val="32"/>
        </w:rPr>
        <w:t>四</w:t>
      </w:r>
      <w:r>
        <w:rPr>
          <w:rFonts w:ascii="Times New Roman" w:hAnsi="Times New Roman" w:eastAsia="黑体" w:cs="Times New Roman"/>
          <w:b w:val="0"/>
          <w:bCs/>
          <w:sz w:val="32"/>
          <w:szCs w:val="32"/>
        </w:rPr>
        <w:t>、</w:t>
      </w:r>
      <w:r>
        <w:rPr>
          <w:rFonts w:hint="eastAsia" w:ascii="Times New Roman" w:hAnsi="Times New Roman" w:eastAsia="黑体" w:cs="Times New Roman"/>
          <w:b w:val="0"/>
          <w:bCs/>
          <w:sz w:val="32"/>
          <w:szCs w:val="32"/>
        </w:rPr>
        <w:t>主要用途、实现功能及公益性用地比例</w:t>
      </w:r>
      <w:bookmarkEnd w:id="14"/>
    </w:p>
    <w:p>
      <w:pPr>
        <w:spacing w:line="360" w:lineRule="auto"/>
        <w:ind w:firstLine="560" w:firstLineChars="200"/>
        <w:rPr>
          <w:rFonts w:ascii="Times New Roman" w:hAnsi="Times New Roman" w:eastAsia="仿宋" w:cs="Times New Roman"/>
          <w:sz w:val="28"/>
          <w:szCs w:val="28"/>
        </w:rPr>
      </w:pPr>
      <w:bookmarkStart w:id="15" w:name="_Toc61179750"/>
      <w:bookmarkStart w:id="16" w:name="_Toc20077"/>
      <w:bookmarkStart w:id="17" w:name="_Toc9058"/>
      <w:r>
        <w:rPr>
          <w:rFonts w:hint="eastAsia" w:ascii="Times New Roman" w:hAnsi="Times New Roman" w:eastAsia="仿宋" w:cs="Times New Roman"/>
          <w:sz w:val="28"/>
          <w:szCs w:val="28"/>
        </w:rPr>
        <w:t>本方案用地总面积</w:t>
      </w:r>
      <w:r>
        <w:rPr>
          <w:rFonts w:ascii="Times New Roman" w:hAnsi="Times New Roman" w:eastAsia="仿宋" w:cs="Times New Roman"/>
          <w:sz w:val="28"/>
          <w:szCs w:val="28"/>
        </w:rPr>
        <w:t>14.5525</w:t>
      </w:r>
      <w:r>
        <w:rPr>
          <w:rFonts w:hint="eastAsia" w:ascii="Times New Roman" w:hAnsi="Times New Roman" w:eastAsia="仿宋" w:cs="Times New Roman"/>
          <w:sz w:val="28"/>
          <w:szCs w:val="28"/>
        </w:rPr>
        <w:t>公顷，其中：</w:t>
      </w:r>
      <w:bookmarkStart w:id="18" w:name="_Toc20511"/>
      <w:r>
        <w:rPr>
          <w:rFonts w:hint="eastAsia" w:ascii="Times New Roman" w:hAnsi="Times New Roman" w:eastAsia="仿宋" w:cs="Times New Roman"/>
          <w:sz w:val="28"/>
          <w:szCs w:val="28"/>
        </w:rPr>
        <w:t>商业用地占地</w:t>
      </w:r>
      <w:r>
        <w:rPr>
          <w:rFonts w:ascii="Times New Roman" w:hAnsi="Times New Roman" w:eastAsia="仿宋" w:cs="Times New Roman"/>
          <w:sz w:val="28"/>
          <w:szCs w:val="28"/>
        </w:rPr>
        <w:t>面积7.0631公顷，</w:t>
      </w:r>
      <w:r>
        <w:rPr>
          <w:rFonts w:hint="eastAsia" w:ascii="Times New Roman" w:hAnsi="Times New Roman" w:eastAsia="仿宋" w:cs="Times New Roman"/>
          <w:sz w:val="28"/>
          <w:szCs w:val="28"/>
        </w:rPr>
        <w:t>其他商业服务业用地占地</w:t>
      </w:r>
      <w:r>
        <w:rPr>
          <w:rFonts w:ascii="Times New Roman" w:hAnsi="Times New Roman" w:eastAsia="仿宋" w:cs="Times New Roman"/>
          <w:sz w:val="28"/>
          <w:szCs w:val="28"/>
        </w:rPr>
        <w:t>面积1.7551公顷</w:t>
      </w:r>
      <w:r>
        <w:rPr>
          <w:rFonts w:hint="eastAsia" w:ascii="Times New Roman" w:hAnsi="Times New Roman" w:eastAsia="仿宋" w:cs="Times New Roman"/>
          <w:sz w:val="28"/>
          <w:szCs w:val="28"/>
        </w:rPr>
        <w:t>，</w:t>
      </w:r>
      <w:bookmarkStart w:id="19" w:name="_Hlk69713016"/>
      <w:r>
        <w:rPr>
          <w:rFonts w:ascii="Times New Roman" w:hAnsi="Times New Roman" w:eastAsia="仿宋" w:cs="Times New Roman"/>
          <w:sz w:val="28"/>
          <w:szCs w:val="28"/>
        </w:rPr>
        <w:t>防护绿地</w:t>
      </w:r>
      <w:r>
        <w:rPr>
          <w:rFonts w:hint="eastAsia" w:ascii="Times New Roman" w:hAnsi="Times New Roman" w:eastAsia="仿宋" w:cs="Times New Roman"/>
          <w:sz w:val="28"/>
          <w:szCs w:val="28"/>
        </w:rPr>
        <w:t>占地</w:t>
      </w:r>
      <w:r>
        <w:rPr>
          <w:rFonts w:ascii="Times New Roman" w:hAnsi="Times New Roman" w:eastAsia="仿宋" w:cs="Times New Roman"/>
          <w:sz w:val="28"/>
          <w:szCs w:val="28"/>
        </w:rPr>
        <w:t>面积4.5528公顷</w:t>
      </w:r>
      <w:bookmarkEnd w:id="19"/>
      <w:bookmarkStart w:id="20" w:name="_Hlk69713039"/>
      <w:r>
        <w:rPr>
          <w:rFonts w:hint="eastAsia" w:ascii="Times New Roman" w:hAnsi="Times New Roman" w:eastAsia="仿宋" w:cs="Times New Roman"/>
          <w:sz w:val="28"/>
          <w:szCs w:val="28"/>
        </w:rPr>
        <w:t>，公园绿地占地面积</w:t>
      </w:r>
      <w:r>
        <w:rPr>
          <w:rFonts w:ascii="Times New Roman" w:hAnsi="Times New Roman" w:eastAsia="仿宋" w:cs="Times New Roman"/>
          <w:sz w:val="28"/>
          <w:szCs w:val="28"/>
        </w:rPr>
        <w:t>1.5158公顷</w:t>
      </w:r>
      <w:bookmarkEnd w:id="20"/>
      <w:r>
        <w:rPr>
          <w:rFonts w:hint="eastAsia" w:ascii="Times New Roman" w:hAnsi="Times New Roman" w:eastAsia="仿宋" w:cs="Times New Roman"/>
          <w:sz w:val="28"/>
          <w:szCs w:val="28"/>
        </w:rPr>
        <w:t>。</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商业用地、其他商业服务业用地、公园绿地、防护绿地属于公益性用地，合计</w:t>
      </w:r>
      <w:r>
        <w:rPr>
          <w:rFonts w:ascii="Times New Roman" w:hAnsi="Times New Roman" w:eastAsia="仿宋" w:cs="Times New Roman"/>
          <w:sz w:val="28"/>
          <w:szCs w:val="28"/>
        </w:rPr>
        <w:t>5.8612</w:t>
      </w:r>
      <w:r>
        <w:rPr>
          <w:rFonts w:hint="eastAsia" w:ascii="Times New Roman" w:hAnsi="Times New Roman" w:eastAsia="仿宋" w:cs="Times New Roman"/>
          <w:sz w:val="28"/>
          <w:szCs w:val="28"/>
        </w:rPr>
        <w:t>公顷，占用地总面积的</w:t>
      </w:r>
      <w:r>
        <w:rPr>
          <w:rFonts w:ascii="Times New Roman" w:hAnsi="Times New Roman" w:eastAsia="仿宋" w:cs="Times New Roman"/>
          <w:sz w:val="28"/>
          <w:szCs w:val="28"/>
        </w:rPr>
        <w:t>40.28</w:t>
      </w:r>
      <w:r>
        <w:rPr>
          <w:rFonts w:hint="eastAsia" w:ascii="Times New Roman" w:hAnsi="Times New Roman" w:eastAsia="仿宋" w:cs="Times New Roman"/>
          <w:sz w:val="28"/>
          <w:szCs w:val="28"/>
          <w:lang w:val="en-US" w:eastAsia="zh-CN"/>
        </w:rPr>
        <w:t>%</w:t>
      </w:r>
      <w:bookmarkStart w:id="25" w:name="_GoBack"/>
      <w:bookmarkEnd w:id="25"/>
      <w:r>
        <w:rPr>
          <w:rFonts w:hint="eastAsia" w:ascii="Times New Roman" w:hAnsi="Times New Roman" w:eastAsia="仿宋" w:cs="Times New Roman"/>
          <w:sz w:val="28"/>
          <w:szCs w:val="28"/>
        </w:rPr>
        <w:t>，符合《土地征收成片开发标准（试行）》公益性用地占比一般不低于</w:t>
      </w:r>
      <w:r>
        <w:rPr>
          <w:rFonts w:ascii="Times New Roman" w:hAnsi="Times New Roman" w:eastAsia="仿宋" w:cs="Times New Roman"/>
          <w:sz w:val="28"/>
          <w:szCs w:val="28"/>
        </w:rPr>
        <w:t>40%</w:t>
      </w:r>
      <w:r>
        <w:rPr>
          <w:rFonts w:hint="eastAsia" w:ascii="Times New Roman" w:hAnsi="Times New Roman" w:eastAsia="仿宋" w:cs="Times New Roman"/>
          <w:sz w:val="28"/>
          <w:szCs w:val="28"/>
        </w:rPr>
        <w:t>的规定。</w:t>
      </w:r>
    </w:p>
    <w:p>
      <w:pPr>
        <w:pStyle w:val="4"/>
        <w:spacing w:before="0" w:after="120" w:line="360" w:lineRule="auto"/>
        <w:rPr>
          <w:rFonts w:ascii="Times New Roman" w:hAnsi="Times New Roman" w:eastAsia="黑体" w:cs="Times New Roman"/>
          <w:b w:val="0"/>
          <w:bCs/>
          <w:sz w:val="32"/>
          <w:szCs w:val="32"/>
        </w:rPr>
      </w:pPr>
      <w:r>
        <w:rPr>
          <w:rFonts w:hint="eastAsia" w:ascii="Times New Roman" w:hAnsi="Times New Roman" w:eastAsia="黑体" w:cs="Times New Roman"/>
          <w:b w:val="0"/>
          <w:bCs/>
          <w:sz w:val="32"/>
          <w:szCs w:val="32"/>
        </w:rPr>
        <w:t>五</w:t>
      </w:r>
      <w:r>
        <w:rPr>
          <w:rFonts w:ascii="Times New Roman" w:hAnsi="Times New Roman" w:eastAsia="黑体" w:cs="Times New Roman"/>
          <w:b w:val="0"/>
          <w:bCs/>
          <w:sz w:val="32"/>
          <w:szCs w:val="32"/>
        </w:rPr>
        <w:t>、合法合规性分析</w:t>
      </w:r>
      <w:bookmarkEnd w:id="18"/>
    </w:p>
    <w:p>
      <w:pPr>
        <w:spacing w:line="360" w:lineRule="auto"/>
        <w:ind w:firstLine="560"/>
        <w:rPr>
          <w:rFonts w:ascii="Times New Roman" w:hAnsi="Times New Roman" w:eastAsia="仿宋" w:cs="Times New Roman"/>
          <w:sz w:val="28"/>
          <w:szCs w:val="28"/>
        </w:rPr>
      </w:pPr>
      <w:bookmarkStart w:id="21" w:name="_Toc19180"/>
      <w:bookmarkStart w:id="22" w:name="_Toc6552"/>
      <w:bookmarkStart w:id="23" w:name="_Toc26938"/>
      <w:r>
        <w:rPr>
          <w:rFonts w:hint="eastAsia" w:ascii="Times New Roman" w:hAnsi="Times New Roman" w:eastAsia="仿宋" w:cs="Times New Roman"/>
          <w:b/>
          <w:bCs/>
          <w:sz w:val="28"/>
          <w:szCs w:val="28"/>
        </w:rPr>
        <w:t>国土空间规划：</w:t>
      </w:r>
      <w:r>
        <w:rPr>
          <w:rFonts w:ascii="Times New Roman" w:hAnsi="Times New Roman" w:eastAsia="仿宋" w:cs="Times New Roman"/>
          <w:sz w:val="28"/>
          <w:szCs w:val="28"/>
        </w:rPr>
        <w:t>成片开发范围位于土地利用总体规划确定的</w:t>
      </w:r>
      <w:r>
        <w:rPr>
          <w:rFonts w:hint="eastAsia" w:ascii="Times New Roman" w:hAnsi="Times New Roman" w:eastAsia="仿宋" w:cs="Times New Roman"/>
          <w:sz w:val="28"/>
          <w:szCs w:val="28"/>
        </w:rPr>
        <w:t>城镇建设用地范围</w:t>
      </w:r>
      <w:r>
        <w:rPr>
          <w:rFonts w:ascii="Times New Roman" w:hAnsi="Times New Roman" w:eastAsia="仿宋" w:cs="Times New Roman"/>
          <w:sz w:val="28"/>
          <w:szCs w:val="28"/>
        </w:rPr>
        <w:t>，</w:t>
      </w:r>
      <w:r>
        <w:rPr>
          <w:rFonts w:hint="eastAsia" w:ascii="Times New Roman" w:hAnsi="Times New Roman" w:eastAsia="仿宋" w:cs="Times New Roman"/>
          <w:sz w:val="28"/>
          <w:szCs w:val="28"/>
        </w:rPr>
        <w:t>本</w:t>
      </w:r>
      <w:r>
        <w:rPr>
          <w:rFonts w:ascii="Times New Roman" w:hAnsi="Times New Roman" w:eastAsia="仿宋" w:cs="Times New Roman"/>
          <w:sz w:val="28"/>
          <w:szCs w:val="28"/>
        </w:rPr>
        <w:t>方案土地征收成片开发范围</w:t>
      </w:r>
      <w:r>
        <w:rPr>
          <w:rFonts w:hint="eastAsia" w:ascii="Times New Roman" w:hAnsi="Times New Roman" w:eastAsia="仿宋" w:cs="Times New Roman"/>
          <w:sz w:val="28"/>
          <w:szCs w:val="28"/>
        </w:rPr>
        <w:t>已</w:t>
      </w:r>
      <w:r>
        <w:rPr>
          <w:rFonts w:ascii="Times New Roman" w:hAnsi="Times New Roman" w:eastAsia="仿宋" w:cs="Times New Roman"/>
          <w:sz w:val="28"/>
          <w:szCs w:val="28"/>
        </w:rPr>
        <w:t>纳入</w:t>
      </w:r>
      <w:r>
        <w:rPr>
          <w:rFonts w:hint="eastAsia" w:ascii="Times New Roman" w:hAnsi="Times New Roman" w:eastAsia="仿宋" w:cs="Times New Roman"/>
          <w:sz w:val="28"/>
          <w:szCs w:val="28"/>
        </w:rPr>
        <w:t>上报的城镇开发边界集中建设区，泰宁县人民政府承诺将土地征收成片开发范围纳入国土空间规划最终确定的城镇开发边界内的集中建设区，并符合规划管控规则。</w:t>
      </w:r>
    </w:p>
    <w:p>
      <w:pPr>
        <w:spacing w:line="360" w:lineRule="auto"/>
        <w:ind w:firstLine="560"/>
        <w:rPr>
          <w:rFonts w:ascii="Times New Roman" w:hAnsi="Times New Roman" w:eastAsia="仿宋" w:cs="Times New Roman"/>
          <w:sz w:val="28"/>
          <w:szCs w:val="28"/>
        </w:rPr>
      </w:pPr>
      <w:r>
        <w:rPr>
          <w:rFonts w:ascii="Times New Roman" w:hAnsi="Times New Roman" w:eastAsia="仿宋" w:cs="Times New Roman"/>
          <w:b/>
          <w:bCs/>
          <w:sz w:val="28"/>
          <w:szCs w:val="28"/>
        </w:rPr>
        <w:t>国民经济和社会发展规划、年度计划：</w:t>
      </w:r>
      <w:r>
        <w:rPr>
          <w:rFonts w:ascii="Times New Roman" w:hAnsi="Times New Roman" w:eastAsia="仿宋" w:cs="Times New Roman"/>
          <w:sz w:val="28"/>
          <w:szCs w:val="28"/>
        </w:rPr>
        <w:t>本方案与现行国民经济和社会发展规划相符，已纳入国民经济和社会发展年度计划。</w:t>
      </w:r>
    </w:p>
    <w:p>
      <w:pPr>
        <w:spacing w:line="360" w:lineRule="auto"/>
        <w:ind w:firstLine="560"/>
        <w:rPr>
          <w:rFonts w:ascii="Times New Roman" w:hAnsi="Times New Roman" w:eastAsia="仿宋" w:cs="Times New Roman"/>
          <w:sz w:val="28"/>
          <w:szCs w:val="28"/>
        </w:rPr>
      </w:pPr>
      <w:r>
        <w:rPr>
          <w:rFonts w:ascii="Times New Roman" w:hAnsi="Times New Roman" w:eastAsia="仿宋" w:cs="Times New Roman"/>
          <w:b/>
          <w:bCs/>
          <w:sz w:val="28"/>
          <w:szCs w:val="28"/>
        </w:rPr>
        <w:t>占用永久基本农田和其他法律法规规定不允许占用或开发的：</w:t>
      </w:r>
      <w:r>
        <w:rPr>
          <w:rFonts w:ascii="Times New Roman" w:hAnsi="Times New Roman" w:eastAsia="仿宋" w:cs="Times New Roman"/>
          <w:sz w:val="28"/>
          <w:szCs w:val="28"/>
        </w:rPr>
        <w:t>本方案不占用永久基本农田、生态保护红线</w:t>
      </w:r>
      <w:r>
        <w:rPr>
          <w:rFonts w:hint="eastAsia" w:ascii="Times New Roman" w:hAnsi="Times New Roman" w:eastAsia="仿宋" w:cs="Times New Roman"/>
          <w:sz w:val="28"/>
          <w:szCs w:val="28"/>
        </w:rPr>
        <w:t>，地块总面积14.5525公顷，其中占用自然与文化双遗产地面积为12.</w:t>
      </w:r>
      <w:r>
        <w:rPr>
          <w:rFonts w:ascii="Times New Roman" w:hAnsi="Times New Roman" w:eastAsia="仿宋" w:cs="Times New Roman"/>
          <w:sz w:val="28"/>
          <w:szCs w:val="28"/>
        </w:rPr>
        <w:t>7839</w:t>
      </w:r>
      <w:r>
        <w:rPr>
          <w:rFonts w:hint="eastAsia" w:ascii="Times New Roman" w:hAnsi="Times New Roman" w:eastAsia="仿宋" w:cs="Times New Roman"/>
          <w:sz w:val="28"/>
          <w:szCs w:val="28"/>
        </w:rPr>
        <w:t>公顷，占87.</w:t>
      </w:r>
      <w:r>
        <w:rPr>
          <w:rFonts w:ascii="Times New Roman" w:hAnsi="Times New Roman" w:eastAsia="仿宋" w:cs="Times New Roman"/>
          <w:sz w:val="28"/>
          <w:szCs w:val="28"/>
        </w:rPr>
        <w:t>85</w:t>
      </w:r>
      <w:r>
        <w:rPr>
          <w:rFonts w:hint="eastAsia" w:ascii="Times New Roman" w:hAnsi="Times New Roman" w:eastAsia="仿宋" w:cs="Times New Roman"/>
          <w:sz w:val="28"/>
          <w:szCs w:val="28"/>
        </w:rPr>
        <w:t>%。</w:t>
      </w:r>
      <w:bookmarkEnd w:id="21"/>
      <w:bookmarkEnd w:id="22"/>
      <w:bookmarkEnd w:id="23"/>
    </w:p>
    <w:bookmarkEnd w:id="15"/>
    <w:bookmarkEnd w:id="16"/>
    <w:bookmarkEnd w:id="17"/>
    <w:p>
      <w:pPr>
        <w:pStyle w:val="4"/>
        <w:spacing w:before="120" w:after="120" w:line="360" w:lineRule="auto"/>
        <w:rPr>
          <w:rFonts w:ascii="Times New Roman" w:hAnsi="Times New Roman" w:eastAsia="黑体" w:cs="Times New Roman"/>
          <w:b w:val="0"/>
          <w:bCs/>
          <w:sz w:val="32"/>
          <w:szCs w:val="32"/>
        </w:rPr>
      </w:pPr>
      <w:bookmarkStart w:id="24" w:name="_Toc16063"/>
      <w:r>
        <w:rPr>
          <w:rFonts w:hint="eastAsia" w:ascii="Times New Roman" w:hAnsi="Times New Roman" w:eastAsia="黑体" w:cs="Times New Roman"/>
          <w:b w:val="0"/>
          <w:bCs/>
          <w:sz w:val="32"/>
          <w:szCs w:val="32"/>
        </w:rPr>
        <w:t>六</w:t>
      </w:r>
      <w:r>
        <w:rPr>
          <w:rFonts w:ascii="Times New Roman" w:hAnsi="Times New Roman" w:eastAsia="黑体" w:cs="Times New Roman"/>
          <w:b w:val="0"/>
          <w:bCs/>
          <w:sz w:val="32"/>
          <w:szCs w:val="32"/>
        </w:rPr>
        <w:t>、结论</w:t>
      </w:r>
      <w:bookmarkEnd w:id="24"/>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土地征收成片开发方案符合国民经济和社会发展规划、土地利用总体规划和专项规划，在土地利用总体规划确定的城镇建设用地范围内，已纳入国民经济和社会发展年度计划，符合部省规定的标准，做到了保护耕地、维护农民合法权益、节约集约用地、保护生态环境，能够促进经济社会可持续发展。</w:t>
      </w:r>
    </w:p>
    <w:p>
      <w:pPr>
        <w:pStyle w:val="2"/>
        <w:ind w:firstLine="480"/>
      </w:pPr>
      <w:r>
        <w:br w:type="page"/>
      </w:r>
    </w:p>
    <w:p>
      <w:pPr>
        <w:widowControl/>
        <w:spacing w:before="100" w:beforeAutospacing="1" w:after="100" w:afterAutospacing="1"/>
        <w:ind w:firstLine="360"/>
        <w:jc w:val="left"/>
        <w:rPr>
          <w:sz w:val="18"/>
          <w:szCs w:val="18"/>
        </w:rPr>
        <w:sectPr>
          <w:footerReference r:id="rId9" w:type="default"/>
          <w:pgSz w:w="11906" w:h="16838"/>
          <w:pgMar w:top="1417" w:right="1134" w:bottom="1134" w:left="1417" w:header="851" w:footer="992" w:gutter="0"/>
          <w:pgNumType w:start="1"/>
          <w:cols w:space="720" w:num="1"/>
          <w:docGrid w:type="lines" w:linePitch="312" w:charSpace="0"/>
        </w:sectPr>
      </w:pPr>
    </w:p>
    <w:p>
      <w:pPr>
        <w:widowControl/>
        <w:jc w:val="left"/>
        <w:rPr>
          <w:rFonts w:ascii="Calibri" w:hAnsi="Calibri" w:eastAsia="宋体" w:cs="Times New Roman"/>
          <w:sz w:val="18"/>
          <w:szCs w:val="18"/>
        </w:rPr>
      </w:pPr>
      <w:r>
        <w:rPr>
          <w:rFonts w:hint="eastAsia"/>
        </w:rPr>
        <w:drawing>
          <wp:inline distT="0" distB="0" distL="0" distR="0">
            <wp:extent cx="7461885" cy="5278120"/>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461885" cy="5278120"/>
                    </a:xfrm>
                    <a:prstGeom prst="rect">
                      <a:avLst/>
                    </a:prstGeom>
                    <a:noFill/>
                    <a:ln>
                      <a:noFill/>
                    </a:ln>
                  </pic:spPr>
                </pic:pic>
              </a:graphicData>
            </a:graphic>
          </wp:inline>
        </w:drawing>
      </w:r>
      <w:r>
        <w:rPr>
          <w:rFonts w:ascii="Calibri" w:hAnsi="Calibri"/>
        </w:rPr>
        <w:br w:type="page"/>
      </w:r>
    </w:p>
    <w:p>
      <w:pPr>
        <w:pStyle w:val="2"/>
        <w:ind w:firstLine="562"/>
        <w:jc w:val="center"/>
        <w:rPr>
          <w:rFonts w:ascii="黑体" w:hAnsi="黑体" w:eastAsia="黑体"/>
          <w:b/>
          <w:sz w:val="28"/>
          <w:szCs w:val="28"/>
        </w:rPr>
      </w:pPr>
      <w:r>
        <w:rPr>
          <w:rFonts w:hint="eastAsia" w:ascii="黑体" w:hAnsi="黑体" w:eastAsia="黑体"/>
          <w:b/>
          <w:sz w:val="28"/>
          <w:szCs w:val="28"/>
        </w:rPr>
        <w:t>附表1土地</w:t>
      </w:r>
      <w:r>
        <w:rPr>
          <w:rFonts w:ascii="黑体" w:hAnsi="黑体" w:eastAsia="黑体"/>
          <w:b/>
          <w:sz w:val="28"/>
          <w:szCs w:val="28"/>
        </w:rPr>
        <w:t>利用现状及权属统计表</w:t>
      </w:r>
    </w:p>
    <w:p>
      <w:pPr>
        <w:ind w:firstLine="480"/>
        <w:jc w:val="right"/>
      </w:pPr>
      <w:r>
        <w:rPr>
          <w:rFonts w:ascii="仿宋" w:hAnsi="仿宋" w:eastAsia="仿宋"/>
          <w:sz w:val="24"/>
        </w:rPr>
        <w:t>单位：公顷、%</w:t>
      </w:r>
    </w:p>
    <w:tbl>
      <w:tblPr>
        <w:tblStyle w:val="19"/>
        <w:tblW w:w="5000" w:type="pct"/>
        <w:tblInd w:w="0" w:type="dxa"/>
        <w:tblLayout w:type="autofit"/>
        <w:tblCellMar>
          <w:top w:w="0" w:type="dxa"/>
          <w:left w:w="108" w:type="dxa"/>
          <w:bottom w:w="0" w:type="dxa"/>
          <w:right w:w="108" w:type="dxa"/>
        </w:tblCellMar>
      </w:tblPr>
      <w:tblGrid>
        <w:gridCol w:w="1950"/>
        <w:gridCol w:w="2126"/>
        <w:gridCol w:w="1562"/>
        <w:gridCol w:w="1848"/>
        <w:gridCol w:w="1582"/>
        <w:gridCol w:w="1967"/>
        <w:gridCol w:w="1582"/>
        <w:gridCol w:w="1557"/>
      </w:tblGrid>
      <w:tr>
        <w:tblPrEx>
          <w:tblCellMar>
            <w:top w:w="0" w:type="dxa"/>
            <w:left w:w="108" w:type="dxa"/>
            <w:bottom w:w="0" w:type="dxa"/>
            <w:right w:w="108" w:type="dxa"/>
          </w:tblCellMar>
        </w:tblPrEx>
        <w:trPr>
          <w:trHeight w:val="300" w:hRule="atLeast"/>
        </w:trPr>
        <w:tc>
          <w:tcPr>
            <w:tcW w:w="68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用地方式</w:t>
            </w:r>
          </w:p>
        </w:tc>
        <w:tc>
          <w:tcPr>
            <w:tcW w:w="1300"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权属单位</w:t>
            </w:r>
          </w:p>
        </w:tc>
        <w:tc>
          <w:tcPr>
            <w:tcW w:w="65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面积总计</w:t>
            </w:r>
          </w:p>
        </w:tc>
        <w:tc>
          <w:tcPr>
            <w:tcW w:w="1252"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农用地</w:t>
            </w:r>
          </w:p>
        </w:tc>
        <w:tc>
          <w:tcPr>
            <w:tcW w:w="55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建设用地</w:t>
            </w:r>
          </w:p>
        </w:tc>
        <w:tc>
          <w:tcPr>
            <w:tcW w:w="550"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未利用地</w:t>
            </w:r>
          </w:p>
        </w:tc>
      </w:tr>
      <w:tr>
        <w:tblPrEx>
          <w:tblCellMar>
            <w:top w:w="0" w:type="dxa"/>
            <w:left w:w="108" w:type="dxa"/>
            <w:bottom w:w="0" w:type="dxa"/>
            <w:right w:w="108" w:type="dxa"/>
          </w:tblCellMar>
        </w:tblPrEx>
        <w:trPr>
          <w:trHeight w:val="300" w:hRule="atLeast"/>
        </w:trPr>
        <w:tc>
          <w:tcPr>
            <w:tcW w:w="688" w:type="pct"/>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cs="宋体"/>
                <w:color w:val="000000"/>
                <w:kern w:val="0"/>
                <w:sz w:val="24"/>
              </w:rPr>
            </w:pPr>
          </w:p>
        </w:tc>
        <w:tc>
          <w:tcPr>
            <w:tcW w:w="7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镇</w:t>
            </w:r>
          </w:p>
        </w:tc>
        <w:tc>
          <w:tcPr>
            <w:tcW w:w="5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村</w:t>
            </w:r>
          </w:p>
        </w:tc>
        <w:tc>
          <w:tcPr>
            <w:tcW w:w="652" w:type="pct"/>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cs="宋体"/>
                <w:color w:val="000000"/>
                <w:kern w:val="0"/>
                <w:sz w:val="24"/>
              </w:rPr>
            </w:pPr>
          </w:p>
        </w:tc>
        <w:tc>
          <w:tcPr>
            <w:tcW w:w="558"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合计</w:t>
            </w:r>
          </w:p>
        </w:tc>
        <w:tc>
          <w:tcPr>
            <w:tcW w:w="694"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其中：耕地</w:t>
            </w:r>
          </w:p>
        </w:tc>
        <w:tc>
          <w:tcPr>
            <w:tcW w:w="558" w:type="pct"/>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cs="宋体"/>
                <w:color w:val="000000"/>
                <w:kern w:val="0"/>
                <w:sz w:val="24"/>
              </w:rPr>
            </w:pPr>
          </w:p>
        </w:tc>
        <w:tc>
          <w:tcPr>
            <w:tcW w:w="550" w:type="pct"/>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cs="宋体"/>
                <w:color w:val="000000"/>
                <w:kern w:val="0"/>
                <w:sz w:val="24"/>
              </w:rPr>
            </w:pPr>
          </w:p>
        </w:tc>
      </w:tr>
      <w:tr>
        <w:tblPrEx>
          <w:tblCellMar>
            <w:top w:w="0" w:type="dxa"/>
            <w:left w:w="108" w:type="dxa"/>
            <w:bottom w:w="0" w:type="dxa"/>
            <w:right w:w="108" w:type="dxa"/>
          </w:tblCellMar>
        </w:tblPrEx>
        <w:trPr>
          <w:trHeight w:val="330" w:hRule="atLeast"/>
        </w:trPr>
        <w:tc>
          <w:tcPr>
            <w:tcW w:w="688" w:type="pct"/>
            <w:tcBorders>
              <w:top w:val="nil"/>
              <w:left w:val="single" w:color="auto" w:sz="8" w:space="0"/>
              <w:bottom w:val="nil"/>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集体土地</w:t>
            </w:r>
          </w:p>
        </w:tc>
        <w:tc>
          <w:tcPr>
            <w:tcW w:w="750" w:type="pct"/>
            <w:tcBorders>
              <w:top w:val="nil"/>
              <w:left w:val="nil"/>
              <w:bottom w:val="nil"/>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泰宁县杉城镇</w:t>
            </w:r>
          </w:p>
        </w:tc>
        <w:tc>
          <w:tcPr>
            <w:tcW w:w="550"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南会村</w:t>
            </w:r>
          </w:p>
        </w:tc>
        <w:tc>
          <w:tcPr>
            <w:tcW w:w="652"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13.5968</w:t>
            </w:r>
          </w:p>
        </w:tc>
        <w:tc>
          <w:tcPr>
            <w:tcW w:w="558"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 xml:space="preserve">13.5621 </w:t>
            </w:r>
          </w:p>
        </w:tc>
        <w:tc>
          <w:tcPr>
            <w:tcW w:w="694"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1.9682</w:t>
            </w:r>
          </w:p>
        </w:tc>
        <w:tc>
          <w:tcPr>
            <w:tcW w:w="558"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0.0347</w:t>
            </w:r>
          </w:p>
        </w:tc>
        <w:tc>
          <w:tcPr>
            <w:tcW w:w="550"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0</w:t>
            </w:r>
            <w:r>
              <w:rPr>
                <w:rFonts w:ascii="仿宋_GB2312" w:hAnsi="宋体" w:cs="宋体"/>
                <w:color w:val="000000"/>
                <w:kern w:val="0"/>
                <w:sz w:val="24"/>
              </w:rPr>
              <w:t>　</w:t>
            </w:r>
          </w:p>
        </w:tc>
      </w:tr>
      <w:tr>
        <w:tblPrEx>
          <w:tblCellMar>
            <w:top w:w="0" w:type="dxa"/>
            <w:left w:w="108" w:type="dxa"/>
            <w:bottom w:w="0" w:type="dxa"/>
            <w:right w:w="108" w:type="dxa"/>
          </w:tblCellMar>
        </w:tblPrEx>
        <w:trPr>
          <w:trHeight w:val="330" w:hRule="atLeast"/>
        </w:trPr>
        <w:tc>
          <w:tcPr>
            <w:tcW w:w="1989" w:type="pct"/>
            <w:gridSpan w:val="3"/>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集体土地小计</w:t>
            </w:r>
          </w:p>
        </w:tc>
        <w:tc>
          <w:tcPr>
            <w:tcW w:w="652"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13.5968</w:t>
            </w:r>
          </w:p>
        </w:tc>
        <w:tc>
          <w:tcPr>
            <w:tcW w:w="558"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13.5621</w:t>
            </w:r>
          </w:p>
        </w:tc>
        <w:tc>
          <w:tcPr>
            <w:tcW w:w="694"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1.9682</w:t>
            </w:r>
          </w:p>
        </w:tc>
        <w:tc>
          <w:tcPr>
            <w:tcW w:w="558"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0.0347</w:t>
            </w:r>
          </w:p>
        </w:tc>
        <w:tc>
          <w:tcPr>
            <w:tcW w:w="550"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0</w:t>
            </w:r>
          </w:p>
        </w:tc>
      </w:tr>
      <w:tr>
        <w:tblPrEx>
          <w:tblCellMar>
            <w:top w:w="0" w:type="dxa"/>
            <w:left w:w="108" w:type="dxa"/>
            <w:bottom w:w="0" w:type="dxa"/>
            <w:right w:w="108" w:type="dxa"/>
          </w:tblCellMar>
        </w:tblPrEx>
        <w:trPr>
          <w:trHeight w:val="330" w:hRule="atLeast"/>
        </w:trPr>
        <w:tc>
          <w:tcPr>
            <w:tcW w:w="1989" w:type="pct"/>
            <w:gridSpan w:val="3"/>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国有土地小计</w:t>
            </w:r>
          </w:p>
        </w:tc>
        <w:tc>
          <w:tcPr>
            <w:tcW w:w="652"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0.9557</w:t>
            </w:r>
          </w:p>
        </w:tc>
        <w:tc>
          <w:tcPr>
            <w:tcW w:w="558"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 xml:space="preserve">0.8368 </w:t>
            </w:r>
          </w:p>
        </w:tc>
        <w:tc>
          <w:tcPr>
            <w:tcW w:w="694"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　</w:t>
            </w:r>
            <w:r>
              <w:rPr>
                <w:rFonts w:hint="eastAsia" w:ascii="仿宋_GB2312" w:hAnsi="宋体" w:cs="宋体"/>
                <w:color w:val="000000"/>
                <w:kern w:val="0"/>
                <w:sz w:val="24"/>
              </w:rPr>
              <w:t>0</w:t>
            </w:r>
          </w:p>
        </w:tc>
        <w:tc>
          <w:tcPr>
            <w:tcW w:w="558"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0.0011</w:t>
            </w:r>
          </w:p>
        </w:tc>
        <w:tc>
          <w:tcPr>
            <w:tcW w:w="550"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0.1178</w:t>
            </w:r>
          </w:p>
        </w:tc>
      </w:tr>
      <w:tr>
        <w:tblPrEx>
          <w:tblCellMar>
            <w:top w:w="0" w:type="dxa"/>
            <w:left w:w="108" w:type="dxa"/>
            <w:bottom w:w="0" w:type="dxa"/>
            <w:right w:w="108" w:type="dxa"/>
          </w:tblCellMar>
        </w:tblPrEx>
        <w:trPr>
          <w:trHeight w:val="330" w:hRule="atLeast"/>
        </w:trPr>
        <w:tc>
          <w:tcPr>
            <w:tcW w:w="1989" w:type="pct"/>
            <w:gridSpan w:val="3"/>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总计</w:t>
            </w:r>
          </w:p>
        </w:tc>
        <w:tc>
          <w:tcPr>
            <w:tcW w:w="652"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14.5525</w:t>
            </w:r>
          </w:p>
        </w:tc>
        <w:tc>
          <w:tcPr>
            <w:tcW w:w="558"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14.3989</w:t>
            </w:r>
          </w:p>
        </w:tc>
        <w:tc>
          <w:tcPr>
            <w:tcW w:w="694"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1.9682</w:t>
            </w:r>
          </w:p>
        </w:tc>
        <w:tc>
          <w:tcPr>
            <w:tcW w:w="558"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0.0358</w:t>
            </w:r>
          </w:p>
        </w:tc>
        <w:tc>
          <w:tcPr>
            <w:tcW w:w="550"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宋体" w:cs="宋体"/>
                <w:color w:val="000000"/>
                <w:kern w:val="0"/>
                <w:sz w:val="24"/>
              </w:rPr>
            </w:pPr>
            <w:r>
              <w:rPr>
                <w:rFonts w:ascii="仿宋_GB2312" w:hAnsi="宋体" w:cs="宋体"/>
                <w:color w:val="000000"/>
                <w:kern w:val="0"/>
                <w:sz w:val="24"/>
              </w:rPr>
              <w:t>0.1178</w:t>
            </w:r>
          </w:p>
        </w:tc>
      </w:tr>
    </w:tbl>
    <w:p>
      <w:pPr>
        <w:widowControl/>
        <w:jc w:val="center"/>
        <w:rPr>
          <w:rFonts w:ascii="仿宋_GB2312" w:hAnsi="宋体" w:cs="宋体"/>
          <w:color w:val="000000"/>
          <w:kern w:val="0"/>
          <w:sz w:val="24"/>
        </w:rPr>
      </w:pPr>
    </w:p>
    <w:p>
      <w:pPr>
        <w:pStyle w:val="2"/>
        <w:ind w:firstLine="480"/>
        <w:jc w:val="center"/>
        <w:rPr>
          <w:rFonts w:eastAsia="黑体"/>
          <w:b/>
          <w:bCs/>
          <w:color w:val="000000"/>
          <w:sz w:val="28"/>
          <w:szCs w:val="28"/>
        </w:rPr>
      </w:pPr>
      <w:r>
        <w:rPr>
          <w:rFonts w:hint="eastAsia"/>
          <w:szCs w:val="28"/>
        </w:rPr>
        <w:br w:type="page"/>
      </w:r>
      <w:r>
        <w:rPr>
          <w:rFonts w:eastAsia="黑体"/>
          <w:b/>
          <w:bCs/>
          <w:color w:val="000000"/>
          <w:sz w:val="28"/>
          <w:szCs w:val="28"/>
        </w:rPr>
        <w:t>附表2  地块用途、面积及实现功能统计表</w:t>
      </w:r>
    </w:p>
    <w:p>
      <w:pPr>
        <w:ind w:firstLine="480"/>
        <w:jc w:val="right"/>
        <w:rPr>
          <w:rFonts w:ascii="仿宋" w:hAnsi="仿宋" w:eastAsia="仿宋"/>
          <w:sz w:val="24"/>
        </w:rPr>
      </w:pPr>
      <w:r>
        <w:rPr>
          <w:rFonts w:ascii="仿宋" w:hAnsi="仿宋" w:eastAsia="仿宋"/>
          <w:sz w:val="24"/>
        </w:rPr>
        <w:t>单位：公顷、%</w:t>
      </w:r>
    </w:p>
    <w:tbl>
      <w:tblPr>
        <w:tblStyle w:val="19"/>
        <w:tblW w:w="5000" w:type="pct"/>
        <w:tblInd w:w="0" w:type="dxa"/>
        <w:tblLayout w:type="autofit"/>
        <w:tblCellMar>
          <w:top w:w="0" w:type="dxa"/>
          <w:left w:w="108" w:type="dxa"/>
          <w:bottom w:w="0" w:type="dxa"/>
          <w:right w:w="108" w:type="dxa"/>
        </w:tblCellMar>
      </w:tblPr>
      <w:tblGrid>
        <w:gridCol w:w="604"/>
        <w:gridCol w:w="1894"/>
        <w:gridCol w:w="1602"/>
        <w:gridCol w:w="1540"/>
        <w:gridCol w:w="1789"/>
        <w:gridCol w:w="5557"/>
        <w:gridCol w:w="1188"/>
      </w:tblGrid>
      <w:tr>
        <w:tblPrEx>
          <w:tblCellMar>
            <w:top w:w="0" w:type="dxa"/>
            <w:left w:w="108" w:type="dxa"/>
            <w:bottom w:w="0" w:type="dxa"/>
            <w:right w:w="108" w:type="dxa"/>
          </w:tblCellMar>
        </w:tblPrEx>
        <w:trPr>
          <w:trHeight w:val="300" w:hRule="atLeast"/>
        </w:trPr>
        <w:tc>
          <w:tcPr>
            <w:tcW w:w="2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序号</w:t>
            </w:r>
          </w:p>
        </w:tc>
        <w:tc>
          <w:tcPr>
            <w:tcW w:w="123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土地用途</w:t>
            </w:r>
          </w:p>
        </w:tc>
        <w:tc>
          <w:tcPr>
            <w:tcW w:w="5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拟用地面积</w:t>
            </w:r>
          </w:p>
        </w:tc>
        <w:tc>
          <w:tcPr>
            <w:tcW w:w="6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占比</w:t>
            </w:r>
          </w:p>
        </w:tc>
        <w:tc>
          <w:tcPr>
            <w:tcW w:w="19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实现功能</w:t>
            </w:r>
          </w:p>
        </w:tc>
        <w:tc>
          <w:tcPr>
            <w:tcW w:w="4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是否公益性用地</w:t>
            </w:r>
          </w:p>
        </w:tc>
      </w:tr>
      <w:tr>
        <w:tblPrEx>
          <w:tblCellMar>
            <w:top w:w="0" w:type="dxa"/>
            <w:left w:w="108" w:type="dxa"/>
            <w:bottom w:w="0" w:type="dxa"/>
            <w:right w:w="108" w:type="dxa"/>
          </w:tblCellMar>
        </w:tblPrEx>
        <w:trPr>
          <w:trHeight w:val="285" w:hRule="atLeast"/>
        </w:trPr>
        <w:tc>
          <w:tcPr>
            <w:tcW w:w="2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4"/>
              </w:rPr>
            </w:pP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一级类</w:t>
            </w:r>
          </w:p>
        </w:tc>
        <w:tc>
          <w:tcPr>
            <w:tcW w:w="56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二级类</w:t>
            </w:r>
          </w:p>
        </w:tc>
        <w:tc>
          <w:tcPr>
            <w:tcW w:w="54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4"/>
              </w:rPr>
            </w:pPr>
          </w:p>
        </w:tc>
        <w:tc>
          <w:tcPr>
            <w:tcW w:w="63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4"/>
              </w:rPr>
            </w:pPr>
          </w:p>
        </w:tc>
        <w:tc>
          <w:tcPr>
            <w:tcW w:w="196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4"/>
              </w:rPr>
            </w:pP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4"/>
              </w:rPr>
            </w:pPr>
          </w:p>
        </w:tc>
      </w:tr>
      <w:tr>
        <w:tblPrEx>
          <w:tblCellMar>
            <w:top w:w="0" w:type="dxa"/>
            <w:left w:w="108" w:type="dxa"/>
            <w:bottom w:w="0" w:type="dxa"/>
            <w:right w:w="108" w:type="dxa"/>
          </w:tblCellMar>
        </w:tblPrEx>
        <w:trPr>
          <w:trHeight w:val="570" w:hRule="atLeast"/>
        </w:trPr>
        <w:tc>
          <w:tcPr>
            <w:tcW w:w="21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w:t>
            </w:r>
          </w:p>
        </w:tc>
        <w:tc>
          <w:tcPr>
            <w:tcW w:w="6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商业服务业用地</w:t>
            </w:r>
          </w:p>
        </w:tc>
        <w:tc>
          <w:tcPr>
            <w:tcW w:w="56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商业用地</w:t>
            </w: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7.0631</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 xml:space="preserve">48.54 </w:t>
            </w:r>
          </w:p>
        </w:tc>
        <w:tc>
          <w:tcPr>
            <w:tcW w:w="196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cs="宋体"/>
                <w:color w:val="000000"/>
                <w:kern w:val="0"/>
                <w:sz w:val="24"/>
              </w:rPr>
            </w:pPr>
            <w:r>
              <w:rPr>
                <w:rFonts w:hint="eastAsia" w:ascii="仿宋_GB2312" w:hAnsi="宋体" w:cs="宋体"/>
                <w:color w:val="000000"/>
                <w:kern w:val="0"/>
                <w:sz w:val="24"/>
              </w:rPr>
              <w:t>建设现代综合性酒店的配套项目，完善城市发展功能、提升商业服务水平</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2</w:t>
            </w:r>
          </w:p>
        </w:tc>
      </w:tr>
      <w:tr>
        <w:tblPrEx>
          <w:tblCellMar>
            <w:top w:w="0" w:type="dxa"/>
            <w:left w:w="108" w:type="dxa"/>
            <w:bottom w:w="0" w:type="dxa"/>
            <w:right w:w="108" w:type="dxa"/>
          </w:tblCellMar>
        </w:tblPrEx>
        <w:trPr>
          <w:trHeight w:val="765" w:hRule="atLeast"/>
        </w:trPr>
        <w:tc>
          <w:tcPr>
            <w:tcW w:w="213"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4"/>
              </w:rPr>
            </w:pPr>
          </w:p>
        </w:tc>
        <w:tc>
          <w:tcPr>
            <w:tcW w:w="668"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4"/>
              </w:rPr>
            </w:pPr>
          </w:p>
        </w:tc>
        <w:tc>
          <w:tcPr>
            <w:tcW w:w="56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其他商业服务业用地</w:t>
            </w: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1.6282</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 xml:space="preserve">11.19 </w:t>
            </w:r>
          </w:p>
        </w:tc>
        <w:tc>
          <w:tcPr>
            <w:tcW w:w="196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cs="宋体"/>
                <w:color w:val="000000"/>
                <w:kern w:val="0"/>
                <w:sz w:val="24"/>
              </w:rPr>
            </w:pPr>
            <w:r>
              <w:rPr>
                <w:rFonts w:hint="eastAsia" w:ascii="仿宋_GB2312" w:hAnsi="宋体" w:cs="宋体"/>
                <w:color w:val="000000"/>
                <w:kern w:val="0"/>
                <w:sz w:val="24"/>
              </w:rPr>
              <w:t>开发新的服务渠道和服务产品，提高服务质量，降低服务成本，提高服务业的比重，</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w:t>
            </w:r>
          </w:p>
        </w:tc>
      </w:tr>
      <w:tr>
        <w:tblPrEx>
          <w:tblCellMar>
            <w:top w:w="0" w:type="dxa"/>
            <w:left w:w="108" w:type="dxa"/>
            <w:bottom w:w="0" w:type="dxa"/>
            <w:right w:w="108" w:type="dxa"/>
          </w:tblCellMar>
        </w:tblPrEx>
        <w:trPr>
          <w:trHeight w:val="765" w:hRule="atLeast"/>
        </w:trPr>
        <w:tc>
          <w:tcPr>
            <w:tcW w:w="21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w:t>
            </w:r>
          </w:p>
        </w:tc>
        <w:tc>
          <w:tcPr>
            <w:tcW w:w="6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绿地与开敞空间用地</w:t>
            </w:r>
          </w:p>
        </w:tc>
        <w:tc>
          <w:tcPr>
            <w:tcW w:w="56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防护绿地</w:t>
            </w: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4.4036</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 xml:space="preserve">30.26 </w:t>
            </w:r>
          </w:p>
        </w:tc>
        <w:tc>
          <w:tcPr>
            <w:tcW w:w="196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cs="宋体"/>
                <w:color w:val="000000"/>
                <w:kern w:val="0"/>
                <w:sz w:val="24"/>
              </w:rPr>
            </w:pPr>
            <w:r>
              <w:rPr>
                <w:rFonts w:hint="eastAsia" w:ascii="仿宋_GB2312" w:hAnsi="宋体" w:cs="宋体"/>
                <w:color w:val="000000"/>
                <w:kern w:val="0"/>
                <w:sz w:val="24"/>
              </w:rPr>
              <w:t>设置在项目区外侧，实现安全隔离、降尘降噪等功能</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　</w:t>
            </w:r>
          </w:p>
        </w:tc>
      </w:tr>
      <w:tr>
        <w:tblPrEx>
          <w:tblCellMar>
            <w:top w:w="0" w:type="dxa"/>
            <w:left w:w="108" w:type="dxa"/>
            <w:bottom w:w="0" w:type="dxa"/>
            <w:right w:w="108" w:type="dxa"/>
          </w:tblCellMar>
        </w:tblPrEx>
        <w:trPr>
          <w:trHeight w:val="615" w:hRule="atLeast"/>
        </w:trPr>
        <w:tc>
          <w:tcPr>
            <w:tcW w:w="213"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4"/>
              </w:rPr>
            </w:pPr>
          </w:p>
        </w:tc>
        <w:tc>
          <w:tcPr>
            <w:tcW w:w="668"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4"/>
              </w:rPr>
            </w:pPr>
          </w:p>
        </w:tc>
        <w:tc>
          <w:tcPr>
            <w:tcW w:w="565"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公园绿地</w:t>
            </w: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1.4576</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 xml:space="preserve">10.02 </w:t>
            </w:r>
          </w:p>
        </w:tc>
        <w:tc>
          <w:tcPr>
            <w:tcW w:w="1960"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cs="宋体"/>
                <w:color w:val="000000"/>
                <w:kern w:val="0"/>
                <w:sz w:val="24"/>
              </w:rPr>
            </w:pPr>
            <w:r>
              <w:rPr>
                <w:rFonts w:hint="eastAsia" w:ascii="仿宋_GB2312" w:hAnsi="宋体" w:cs="宋体"/>
                <w:color w:val="000000"/>
                <w:kern w:val="0"/>
                <w:sz w:val="24"/>
              </w:rPr>
              <w:t>设置多功能运动场地和健身步道，满足周边居民接近自然和开展室外活动的需求。</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w:t>
            </w:r>
          </w:p>
        </w:tc>
      </w:tr>
      <w:tr>
        <w:tblPrEx>
          <w:tblCellMar>
            <w:top w:w="0" w:type="dxa"/>
            <w:left w:w="108" w:type="dxa"/>
            <w:bottom w:w="0" w:type="dxa"/>
            <w:right w:w="108" w:type="dxa"/>
          </w:tblCellMar>
        </w:tblPrEx>
        <w:trPr>
          <w:trHeight w:val="315" w:hRule="atLeast"/>
        </w:trPr>
        <w:tc>
          <w:tcPr>
            <w:tcW w:w="144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合计</w:t>
            </w: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14.5525</w:t>
            </w: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 xml:space="preserve">100.00 </w:t>
            </w:r>
          </w:p>
        </w:tc>
        <w:tc>
          <w:tcPr>
            <w:tcW w:w="196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　</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40.28</w:t>
            </w:r>
          </w:p>
        </w:tc>
      </w:tr>
    </w:tbl>
    <w:p>
      <w:pPr>
        <w:ind w:firstLine="480"/>
        <w:jc w:val="right"/>
        <w:rPr>
          <w:rFonts w:ascii="仿宋" w:hAnsi="仿宋" w:eastAsia="仿宋"/>
          <w:sz w:val="24"/>
        </w:rPr>
      </w:pPr>
    </w:p>
    <w:p>
      <w:pPr>
        <w:widowControl/>
        <w:spacing w:before="156" w:beforeLines="50"/>
        <w:ind w:firstLine="480"/>
        <w:jc w:val="left"/>
        <w:rPr>
          <w:rFonts w:eastAsia="仿宋"/>
          <w:kern w:val="0"/>
          <w:sz w:val="24"/>
        </w:rPr>
      </w:pPr>
      <w:r>
        <w:rPr>
          <w:rFonts w:eastAsia="仿宋"/>
          <w:kern w:val="0"/>
          <w:sz w:val="24"/>
        </w:rPr>
        <w:t>注:</w:t>
      </w:r>
      <w:r>
        <w:rPr>
          <w:rFonts w:eastAsia="仿宋"/>
          <w:kern w:val="0"/>
          <w:sz w:val="24"/>
        </w:rPr>
        <w:tab/>
      </w:r>
      <w:r>
        <w:rPr>
          <w:rFonts w:eastAsia="仿宋"/>
          <w:kern w:val="0"/>
          <w:sz w:val="24"/>
        </w:rPr>
        <w:t>1.土地用途：按照《国土空间调查、规划、用途管制用地用海分类指南（试行）》进行划分，应与国土空间规划成果相衔接；</w:t>
      </w:r>
    </w:p>
    <w:p>
      <w:pPr>
        <w:widowControl/>
        <w:ind w:firstLine="480"/>
        <w:jc w:val="left"/>
        <w:rPr>
          <w:rFonts w:eastAsia="仿宋"/>
          <w:kern w:val="0"/>
          <w:sz w:val="24"/>
        </w:rPr>
      </w:pPr>
      <w:r>
        <w:rPr>
          <w:rFonts w:eastAsia="仿宋"/>
          <w:kern w:val="0"/>
          <w:sz w:val="24"/>
        </w:rPr>
        <w:tab/>
      </w:r>
      <w:r>
        <w:rPr>
          <w:rFonts w:eastAsia="仿宋"/>
          <w:kern w:val="0"/>
          <w:sz w:val="24"/>
        </w:rPr>
        <w:t>2.实现功能：简要说明地块用途拟发挥的作用和效能；</w:t>
      </w:r>
    </w:p>
    <w:p>
      <w:pPr>
        <w:widowControl/>
        <w:ind w:firstLine="480"/>
        <w:jc w:val="left"/>
        <w:rPr>
          <w:rFonts w:eastAsia="仿宋"/>
          <w:kern w:val="0"/>
          <w:sz w:val="24"/>
        </w:rPr>
      </w:pPr>
      <w:r>
        <w:rPr>
          <w:rFonts w:eastAsia="仿宋"/>
          <w:kern w:val="0"/>
          <w:sz w:val="24"/>
        </w:rPr>
        <w:tab/>
      </w:r>
      <w:r>
        <w:rPr>
          <w:rFonts w:eastAsia="仿宋"/>
          <w:kern w:val="0"/>
          <w:sz w:val="24"/>
        </w:rPr>
        <w:t>3.占比：为拟用地面积占土地征收成片开发范围面积的比例；</w:t>
      </w:r>
    </w:p>
    <w:p>
      <w:pPr>
        <w:widowControl/>
        <w:ind w:firstLine="480"/>
        <w:jc w:val="left"/>
      </w:pPr>
      <w:r>
        <w:rPr>
          <w:rFonts w:eastAsia="仿宋"/>
          <w:kern w:val="0"/>
          <w:sz w:val="24"/>
        </w:rPr>
        <w:tab/>
      </w:r>
      <w:r>
        <w:rPr>
          <w:rFonts w:eastAsia="仿宋"/>
          <w:kern w:val="0"/>
          <w:sz w:val="24"/>
        </w:rPr>
        <w:t>4.是否公益性用地：公益性用地填“1”、非公益性用地填“2”，并在本列合计行填写公益性用地合计占比。</w:t>
      </w:r>
    </w:p>
    <w:p>
      <w:pPr>
        <w:pStyle w:val="2"/>
        <w:ind w:firstLine="480"/>
        <w:jc w:val="center"/>
        <w:rPr>
          <w:rFonts w:eastAsia="黑体"/>
          <w:b/>
          <w:bCs/>
          <w:color w:val="000000"/>
          <w:sz w:val="28"/>
          <w:szCs w:val="28"/>
        </w:rPr>
      </w:pPr>
      <w:r>
        <w:br w:type="page"/>
      </w:r>
      <w:r>
        <w:rPr>
          <w:rFonts w:hint="eastAsia" w:ascii="黑体" w:hAnsi="黑体" w:eastAsia="黑体" w:cs="宋体"/>
          <w:b/>
          <w:bCs/>
          <w:color w:val="000000"/>
          <w:kern w:val="0"/>
          <w:szCs w:val="28"/>
        </w:rPr>
        <w:t>附表3  拟建设项目统计表</w:t>
      </w:r>
    </w:p>
    <w:p>
      <w:pPr>
        <w:widowControl/>
        <w:ind w:firstLine="480"/>
        <w:jc w:val="right"/>
      </w:pPr>
      <w:r>
        <w:rPr>
          <w:rFonts w:ascii="仿宋" w:hAnsi="仿宋" w:eastAsia="仿宋"/>
          <w:sz w:val="24"/>
        </w:rPr>
        <w:t>单位：公顷</w:t>
      </w:r>
    </w:p>
    <w:tbl>
      <w:tblPr>
        <w:tblStyle w:val="19"/>
        <w:tblW w:w="5000" w:type="pct"/>
        <w:tblInd w:w="0" w:type="dxa"/>
        <w:tblLayout w:type="autofit"/>
        <w:tblCellMar>
          <w:top w:w="0" w:type="dxa"/>
          <w:left w:w="108" w:type="dxa"/>
          <w:bottom w:w="0" w:type="dxa"/>
          <w:right w:w="108" w:type="dxa"/>
        </w:tblCellMar>
      </w:tblPr>
      <w:tblGrid>
        <w:gridCol w:w="1948"/>
        <w:gridCol w:w="4436"/>
        <w:gridCol w:w="4329"/>
        <w:gridCol w:w="3461"/>
      </w:tblGrid>
      <w:tr>
        <w:tblPrEx>
          <w:tblCellMar>
            <w:top w:w="0" w:type="dxa"/>
            <w:left w:w="108" w:type="dxa"/>
            <w:bottom w:w="0" w:type="dxa"/>
            <w:right w:w="108" w:type="dxa"/>
          </w:tblCellMar>
        </w:tblPrEx>
        <w:trPr>
          <w:trHeight w:val="285" w:hRule="atLeast"/>
        </w:trPr>
        <w:tc>
          <w:tcPr>
            <w:tcW w:w="68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序号</w:t>
            </w:r>
          </w:p>
        </w:tc>
        <w:tc>
          <w:tcPr>
            <w:tcW w:w="1565"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项目名称</w:t>
            </w:r>
          </w:p>
        </w:tc>
        <w:tc>
          <w:tcPr>
            <w:tcW w:w="152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土地用途</w:t>
            </w:r>
          </w:p>
        </w:tc>
        <w:tc>
          <w:tcPr>
            <w:tcW w:w="122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用地面积</w:t>
            </w:r>
          </w:p>
        </w:tc>
      </w:tr>
      <w:tr>
        <w:tblPrEx>
          <w:tblCellMar>
            <w:top w:w="0" w:type="dxa"/>
            <w:left w:w="108" w:type="dxa"/>
            <w:bottom w:w="0" w:type="dxa"/>
            <w:right w:w="108" w:type="dxa"/>
          </w:tblCellMar>
        </w:tblPrEx>
        <w:trPr>
          <w:trHeight w:val="330" w:hRule="atLeast"/>
        </w:trPr>
        <w:tc>
          <w:tcPr>
            <w:tcW w:w="6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1</w:t>
            </w:r>
          </w:p>
        </w:tc>
        <w:tc>
          <w:tcPr>
            <w:tcW w:w="1565"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商业用地</w:t>
            </w:r>
          </w:p>
        </w:tc>
        <w:tc>
          <w:tcPr>
            <w:tcW w:w="1527"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商业用地</w:t>
            </w:r>
          </w:p>
        </w:tc>
        <w:tc>
          <w:tcPr>
            <w:tcW w:w="1221"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 xml:space="preserve">7.0631 </w:t>
            </w:r>
          </w:p>
        </w:tc>
      </w:tr>
      <w:tr>
        <w:tblPrEx>
          <w:tblCellMar>
            <w:top w:w="0" w:type="dxa"/>
            <w:left w:w="108" w:type="dxa"/>
            <w:bottom w:w="0" w:type="dxa"/>
            <w:right w:w="108" w:type="dxa"/>
          </w:tblCellMar>
        </w:tblPrEx>
        <w:trPr>
          <w:trHeight w:val="330" w:hRule="atLeast"/>
        </w:trPr>
        <w:tc>
          <w:tcPr>
            <w:tcW w:w="6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2</w:t>
            </w:r>
          </w:p>
        </w:tc>
        <w:tc>
          <w:tcPr>
            <w:tcW w:w="1565"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商服用地</w:t>
            </w:r>
          </w:p>
        </w:tc>
        <w:tc>
          <w:tcPr>
            <w:tcW w:w="1527"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其他商业服务业用地</w:t>
            </w:r>
          </w:p>
        </w:tc>
        <w:tc>
          <w:tcPr>
            <w:tcW w:w="1221"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 xml:space="preserve">1.6282 </w:t>
            </w:r>
          </w:p>
        </w:tc>
      </w:tr>
      <w:tr>
        <w:tblPrEx>
          <w:tblCellMar>
            <w:top w:w="0" w:type="dxa"/>
            <w:left w:w="108" w:type="dxa"/>
            <w:bottom w:w="0" w:type="dxa"/>
            <w:right w:w="108" w:type="dxa"/>
          </w:tblCellMar>
        </w:tblPrEx>
        <w:trPr>
          <w:trHeight w:val="330" w:hRule="atLeast"/>
        </w:trPr>
        <w:tc>
          <w:tcPr>
            <w:tcW w:w="6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3</w:t>
            </w:r>
          </w:p>
        </w:tc>
        <w:tc>
          <w:tcPr>
            <w:tcW w:w="1565"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公园绿地</w:t>
            </w:r>
          </w:p>
        </w:tc>
        <w:tc>
          <w:tcPr>
            <w:tcW w:w="1527"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公园绿地</w:t>
            </w:r>
          </w:p>
        </w:tc>
        <w:tc>
          <w:tcPr>
            <w:tcW w:w="1221"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 xml:space="preserve">1.4576 </w:t>
            </w:r>
          </w:p>
        </w:tc>
      </w:tr>
      <w:tr>
        <w:tblPrEx>
          <w:tblCellMar>
            <w:top w:w="0" w:type="dxa"/>
            <w:left w:w="108" w:type="dxa"/>
            <w:bottom w:w="0" w:type="dxa"/>
            <w:right w:w="108" w:type="dxa"/>
          </w:tblCellMar>
        </w:tblPrEx>
        <w:trPr>
          <w:trHeight w:val="330" w:hRule="atLeast"/>
        </w:trPr>
        <w:tc>
          <w:tcPr>
            <w:tcW w:w="6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4</w:t>
            </w:r>
          </w:p>
        </w:tc>
        <w:tc>
          <w:tcPr>
            <w:tcW w:w="1565"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防护绿地</w:t>
            </w:r>
          </w:p>
        </w:tc>
        <w:tc>
          <w:tcPr>
            <w:tcW w:w="1527"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防护绿地</w:t>
            </w:r>
          </w:p>
        </w:tc>
        <w:tc>
          <w:tcPr>
            <w:tcW w:w="1221"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 xml:space="preserve">4.4036 </w:t>
            </w:r>
          </w:p>
        </w:tc>
      </w:tr>
      <w:tr>
        <w:tblPrEx>
          <w:tblCellMar>
            <w:top w:w="0" w:type="dxa"/>
            <w:left w:w="108" w:type="dxa"/>
            <w:bottom w:w="0" w:type="dxa"/>
            <w:right w:w="108" w:type="dxa"/>
          </w:tblCellMar>
        </w:tblPrEx>
        <w:trPr>
          <w:trHeight w:val="330" w:hRule="atLeast"/>
        </w:trPr>
        <w:tc>
          <w:tcPr>
            <w:tcW w:w="3779"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合计</w:t>
            </w:r>
          </w:p>
        </w:tc>
        <w:tc>
          <w:tcPr>
            <w:tcW w:w="1221"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cs="宋体"/>
                <w:color w:val="000000"/>
                <w:kern w:val="0"/>
                <w:sz w:val="24"/>
              </w:rPr>
            </w:pPr>
            <w:r>
              <w:rPr>
                <w:rFonts w:ascii="仿宋_GB2312" w:hAnsi="宋体" w:cs="宋体"/>
                <w:color w:val="000000"/>
                <w:kern w:val="0"/>
                <w:sz w:val="24"/>
              </w:rPr>
              <w:t xml:space="preserve">14.5525 </w:t>
            </w:r>
          </w:p>
        </w:tc>
      </w:tr>
    </w:tbl>
    <w:p>
      <w:pPr>
        <w:widowControl/>
        <w:ind w:firstLine="480"/>
        <w:jc w:val="right"/>
      </w:pPr>
    </w:p>
    <w:p>
      <w:pPr>
        <w:pStyle w:val="2"/>
        <w:ind w:firstLine="480"/>
      </w:pPr>
      <w:r>
        <w:rPr>
          <w:rFonts w:hint="eastAsia" w:ascii="仿宋_GB2312" w:hAnsi="宋体" w:cs="宋体"/>
          <w:color w:val="000000"/>
          <w:kern w:val="0"/>
        </w:rPr>
        <w:t>注：按拟建设项目统计；用途统计应与附表</w:t>
      </w:r>
      <w:r>
        <w:rPr>
          <w:rFonts w:ascii="仿宋_GB2312" w:hAnsi="宋体" w:cs="宋体"/>
          <w:color w:val="000000"/>
          <w:kern w:val="0"/>
        </w:rPr>
        <w:t>2</w:t>
      </w:r>
      <w:r>
        <w:rPr>
          <w:rFonts w:hint="eastAsia" w:ascii="仿宋_GB2312" w:hAnsi="宋体" w:cs="宋体"/>
          <w:color w:val="000000"/>
          <w:kern w:val="0"/>
        </w:rPr>
        <w:t>二级类一致。</w:t>
      </w:r>
    </w:p>
    <w:p>
      <w:pPr>
        <w:widowControl/>
        <w:ind w:firstLine="562"/>
        <w:jc w:val="center"/>
        <w:rPr>
          <w:rFonts w:ascii="黑体" w:hAnsi="黑体" w:eastAsia="黑体" w:cs="宋体"/>
          <w:b/>
          <w:bCs/>
          <w:color w:val="000000"/>
          <w:kern w:val="0"/>
          <w:szCs w:val="28"/>
        </w:rPr>
      </w:pPr>
      <w:r>
        <w:rPr>
          <w:rFonts w:hint="eastAsia" w:ascii="黑体" w:hAnsi="黑体" w:eastAsia="黑体" w:cs="宋体"/>
          <w:b/>
          <w:bCs/>
          <w:kern w:val="0"/>
          <w:szCs w:val="28"/>
        </w:rPr>
        <w:br w:type="page"/>
      </w:r>
      <w:r>
        <w:rPr>
          <w:rFonts w:hint="eastAsia" w:ascii="黑体" w:hAnsi="黑体" w:eastAsia="黑体" w:cs="宋体"/>
          <w:b/>
          <w:bCs/>
          <w:color w:val="000000"/>
          <w:kern w:val="0"/>
          <w:szCs w:val="28"/>
        </w:rPr>
        <w:t>附表</w:t>
      </w:r>
      <w:r>
        <w:rPr>
          <w:rFonts w:eastAsia="黑体"/>
          <w:b/>
          <w:bCs/>
          <w:color w:val="000000"/>
          <w:kern w:val="0"/>
          <w:szCs w:val="28"/>
        </w:rPr>
        <w:t xml:space="preserve">4  </w:t>
      </w:r>
      <w:r>
        <w:rPr>
          <w:rFonts w:hint="eastAsia" w:ascii="黑体" w:hAnsi="黑体" w:eastAsia="黑体" w:cs="宋体"/>
          <w:b/>
          <w:bCs/>
          <w:color w:val="000000"/>
          <w:kern w:val="0"/>
          <w:szCs w:val="28"/>
        </w:rPr>
        <w:t>开发时序和年度实施计划统计表</w:t>
      </w:r>
    </w:p>
    <w:p>
      <w:pPr>
        <w:pStyle w:val="2"/>
        <w:ind w:firstLine="480"/>
        <w:jc w:val="right"/>
      </w:pPr>
      <w:r>
        <w:rPr>
          <w:rFonts w:hint="eastAsia" w:ascii="仿宋_GB2312" w:hAnsi="宋体" w:cs="宋体"/>
          <w:color w:val="000000"/>
          <w:kern w:val="0"/>
        </w:rPr>
        <w:t>单位</w:t>
      </w:r>
      <w:r>
        <w:rPr>
          <w:color w:val="000000"/>
          <w:kern w:val="0"/>
        </w:rPr>
        <w:t>:</w:t>
      </w:r>
      <w:r>
        <w:rPr>
          <w:rFonts w:hint="eastAsia" w:ascii="仿宋_GB2312" w:hAnsi="宋体" w:cs="宋体"/>
          <w:color w:val="000000"/>
          <w:kern w:val="0"/>
        </w:rPr>
        <w:t>公顷、</w:t>
      </w:r>
      <w:r>
        <w:rPr>
          <w:color w:val="000000"/>
          <w:kern w:val="0"/>
        </w:rPr>
        <w:t>%</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2027"/>
        <w:gridCol w:w="2030"/>
        <w:gridCol w:w="2004"/>
        <w:gridCol w:w="2030"/>
        <w:gridCol w:w="2004"/>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4" w:type="pct"/>
            <w:vMerge w:val="restart"/>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实施总面积</w:t>
            </w:r>
          </w:p>
        </w:tc>
        <w:tc>
          <w:tcPr>
            <w:tcW w:w="1431" w:type="pct"/>
            <w:gridSpan w:val="2"/>
            <w:shd w:val="clear" w:color="auto" w:fill="auto"/>
            <w:vAlign w:val="center"/>
          </w:tcPr>
          <w:p>
            <w:pPr>
              <w:widowControl/>
              <w:jc w:val="center"/>
              <w:rPr>
                <w:rFonts w:eastAsia="宋体"/>
                <w:color w:val="000000"/>
                <w:kern w:val="0"/>
                <w:sz w:val="24"/>
              </w:rPr>
            </w:pPr>
            <w:r>
              <w:rPr>
                <w:rFonts w:eastAsia="宋体"/>
                <w:color w:val="000000"/>
                <w:kern w:val="0"/>
                <w:sz w:val="24"/>
              </w:rPr>
              <w:t>2022</w:t>
            </w:r>
            <w:r>
              <w:rPr>
                <w:rFonts w:hint="eastAsia" w:ascii="仿宋_GB2312"/>
                <w:color w:val="000000"/>
                <w:kern w:val="0"/>
                <w:sz w:val="24"/>
              </w:rPr>
              <w:t>年</w:t>
            </w:r>
          </w:p>
        </w:tc>
        <w:tc>
          <w:tcPr>
            <w:tcW w:w="1423" w:type="pct"/>
            <w:gridSpan w:val="2"/>
            <w:shd w:val="clear" w:color="auto" w:fill="auto"/>
            <w:vAlign w:val="center"/>
          </w:tcPr>
          <w:p>
            <w:pPr>
              <w:widowControl/>
              <w:jc w:val="center"/>
              <w:rPr>
                <w:rFonts w:eastAsia="宋体"/>
                <w:color w:val="000000"/>
                <w:kern w:val="0"/>
                <w:sz w:val="24"/>
              </w:rPr>
            </w:pPr>
            <w:r>
              <w:rPr>
                <w:rFonts w:eastAsia="宋体"/>
                <w:color w:val="000000"/>
                <w:kern w:val="0"/>
                <w:sz w:val="24"/>
              </w:rPr>
              <w:t>2023</w:t>
            </w:r>
            <w:r>
              <w:rPr>
                <w:rFonts w:hint="eastAsia" w:ascii="仿宋_GB2312"/>
                <w:color w:val="000000"/>
                <w:kern w:val="0"/>
                <w:sz w:val="24"/>
              </w:rPr>
              <w:t>年</w:t>
            </w:r>
          </w:p>
        </w:tc>
        <w:tc>
          <w:tcPr>
            <w:tcW w:w="1422" w:type="pct"/>
            <w:gridSpan w:val="2"/>
            <w:shd w:val="clear" w:color="auto" w:fill="auto"/>
            <w:vAlign w:val="center"/>
          </w:tcPr>
          <w:p>
            <w:pPr>
              <w:widowControl/>
              <w:jc w:val="center"/>
              <w:rPr>
                <w:rFonts w:eastAsia="宋体"/>
                <w:color w:val="000000"/>
                <w:kern w:val="0"/>
                <w:sz w:val="24"/>
              </w:rPr>
            </w:pPr>
            <w:r>
              <w:rPr>
                <w:rFonts w:eastAsia="宋体"/>
                <w:color w:val="000000"/>
                <w:kern w:val="0"/>
                <w:sz w:val="24"/>
              </w:rPr>
              <w:t>2024</w:t>
            </w:r>
            <w:r>
              <w:rPr>
                <w:rFonts w:hint="eastAsia" w:ascii="仿宋_GB2312"/>
                <w:color w:val="000000"/>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4" w:type="pct"/>
            <w:vMerge w:val="continue"/>
            <w:vAlign w:val="center"/>
          </w:tcPr>
          <w:p>
            <w:pPr>
              <w:widowControl/>
              <w:jc w:val="center"/>
              <w:rPr>
                <w:rFonts w:ascii="仿宋_GB2312" w:hAnsi="宋体" w:cs="宋体"/>
                <w:color w:val="000000"/>
                <w:kern w:val="0"/>
                <w:sz w:val="24"/>
              </w:rPr>
            </w:pPr>
          </w:p>
        </w:tc>
        <w:tc>
          <w:tcPr>
            <w:tcW w:w="715" w:type="pct"/>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完成面积</w:t>
            </w:r>
          </w:p>
        </w:tc>
        <w:tc>
          <w:tcPr>
            <w:tcW w:w="716" w:type="pct"/>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比例</w:t>
            </w:r>
          </w:p>
        </w:tc>
        <w:tc>
          <w:tcPr>
            <w:tcW w:w="707" w:type="pct"/>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完成面积</w:t>
            </w:r>
          </w:p>
        </w:tc>
        <w:tc>
          <w:tcPr>
            <w:tcW w:w="716" w:type="pct"/>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比例</w:t>
            </w:r>
          </w:p>
        </w:tc>
        <w:tc>
          <w:tcPr>
            <w:tcW w:w="707" w:type="pct"/>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完成面积</w:t>
            </w:r>
          </w:p>
        </w:tc>
        <w:tc>
          <w:tcPr>
            <w:tcW w:w="715" w:type="pct"/>
            <w:shd w:val="clear" w:color="auto" w:fill="auto"/>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4" w:type="pct"/>
            <w:shd w:val="clear" w:color="auto" w:fill="auto"/>
            <w:vAlign w:val="center"/>
          </w:tcPr>
          <w:p>
            <w:pPr>
              <w:widowControl/>
              <w:jc w:val="center"/>
              <w:rPr>
                <w:rFonts w:eastAsia="宋体"/>
                <w:color w:val="000000"/>
                <w:kern w:val="0"/>
                <w:sz w:val="24"/>
              </w:rPr>
            </w:pPr>
            <w:r>
              <w:rPr>
                <w:rFonts w:eastAsia="宋体"/>
                <w:color w:val="000000"/>
                <w:kern w:val="0"/>
                <w:sz w:val="24"/>
              </w:rPr>
              <w:t>14.5525</w:t>
            </w:r>
          </w:p>
        </w:tc>
        <w:tc>
          <w:tcPr>
            <w:tcW w:w="715" w:type="pct"/>
            <w:shd w:val="clear" w:color="auto" w:fill="auto"/>
            <w:vAlign w:val="center"/>
          </w:tcPr>
          <w:p>
            <w:pPr>
              <w:widowControl/>
              <w:jc w:val="center"/>
              <w:rPr>
                <w:rFonts w:eastAsia="宋体"/>
                <w:color w:val="000000"/>
                <w:kern w:val="0"/>
                <w:sz w:val="24"/>
              </w:rPr>
            </w:pPr>
            <w:r>
              <w:rPr>
                <w:rFonts w:eastAsia="宋体"/>
                <w:color w:val="000000"/>
                <w:kern w:val="0"/>
                <w:sz w:val="24"/>
              </w:rPr>
              <w:t>7.0631</w:t>
            </w:r>
          </w:p>
        </w:tc>
        <w:tc>
          <w:tcPr>
            <w:tcW w:w="716" w:type="pct"/>
            <w:shd w:val="clear" w:color="auto" w:fill="auto"/>
            <w:vAlign w:val="center"/>
          </w:tcPr>
          <w:p>
            <w:pPr>
              <w:widowControl/>
              <w:jc w:val="center"/>
              <w:rPr>
                <w:rFonts w:eastAsia="宋体"/>
                <w:color w:val="000000"/>
                <w:kern w:val="0"/>
                <w:sz w:val="24"/>
              </w:rPr>
            </w:pPr>
            <w:r>
              <w:rPr>
                <w:color w:val="000000"/>
                <w:kern w:val="0"/>
                <w:sz w:val="24"/>
              </w:rPr>
              <w:t xml:space="preserve">48.54 </w:t>
            </w:r>
          </w:p>
        </w:tc>
        <w:tc>
          <w:tcPr>
            <w:tcW w:w="707" w:type="pct"/>
            <w:shd w:val="clear" w:color="auto" w:fill="auto"/>
            <w:vAlign w:val="center"/>
          </w:tcPr>
          <w:p>
            <w:pPr>
              <w:widowControl/>
              <w:jc w:val="center"/>
              <w:rPr>
                <w:rFonts w:eastAsia="宋体"/>
                <w:color w:val="000000"/>
                <w:kern w:val="0"/>
                <w:sz w:val="24"/>
              </w:rPr>
            </w:pPr>
            <w:r>
              <w:rPr>
                <w:color w:val="000000"/>
                <w:kern w:val="0"/>
                <w:sz w:val="24"/>
              </w:rPr>
              <w:t xml:space="preserve">4.1823 </w:t>
            </w:r>
          </w:p>
        </w:tc>
        <w:tc>
          <w:tcPr>
            <w:tcW w:w="716" w:type="pct"/>
            <w:shd w:val="clear" w:color="auto" w:fill="auto"/>
            <w:vAlign w:val="center"/>
          </w:tcPr>
          <w:p>
            <w:pPr>
              <w:widowControl/>
              <w:jc w:val="center"/>
              <w:rPr>
                <w:rFonts w:eastAsia="宋体"/>
                <w:color w:val="000000"/>
                <w:kern w:val="0"/>
                <w:sz w:val="24"/>
              </w:rPr>
            </w:pPr>
            <w:r>
              <w:rPr>
                <w:color w:val="000000"/>
                <w:kern w:val="0"/>
                <w:sz w:val="24"/>
              </w:rPr>
              <w:t xml:space="preserve">28.74 </w:t>
            </w:r>
          </w:p>
        </w:tc>
        <w:tc>
          <w:tcPr>
            <w:tcW w:w="707" w:type="pct"/>
            <w:shd w:val="clear" w:color="auto" w:fill="auto"/>
            <w:vAlign w:val="center"/>
          </w:tcPr>
          <w:p>
            <w:pPr>
              <w:widowControl/>
              <w:jc w:val="center"/>
              <w:rPr>
                <w:rFonts w:eastAsia="宋体"/>
                <w:color w:val="000000"/>
                <w:kern w:val="0"/>
                <w:sz w:val="24"/>
              </w:rPr>
            </w:pPr>
            <w:r>
              <w:rPr>
                <w:color w:val="000000"/>
                <w:kern w:val="0"/>
                <w:sz w:val="24"/>
              </w:rPr>
              <w:t xml:space="preserve">3.3071 </w:t>
            </w:r>
          </w:p>
        </w:tc>
        <w:tc>
          <w:tcPr>
            <w:tcW w:w="715" w:type="pct"/>
            <w:shd w:val="clear" w:color="auto" w:fill="auto"/>
            <w:vAlign w:val="center"/>
          </w:tcPr>
          <w:p>
            <w:pPr>
              <w:widowControl/>
              <w:jc w:val="center"/>
              <w:rPr>
                <w:rFonts w:eastAsia="宋体"/>
                <w:color w:val="000000"/>
                <w:kern w:val="0"/>
                <w:sz w:val="24"/>
              </w:rPr>
            </w:pPr>
            <w:r>
              <w:rPr>
                <w:color w:val="000000"/>
                <w:kern w:val="0"/>
                <w:sz w:val="24"/>
              </w:rPr>
              <w:t xml:space="preserve">22.73 </w:t>
            </w:r>
          </w:p>
        </w:tc>
      </w:tr>
    </w:tbl>
    <w:p>
      <w:pPr>
        <w:ind w:firstLine="480"/>
      </w:pPr>
      <w:r>
        <w:rPr>
          <w:kern w:val="0"/>
          <w:sz w:val="24"/>
        </w:rPr>
        <w:t>注：实施总面积与附表3合计面积一致。</w:t>
      </w:r>
    </w:p>
    <w:p>
      <w:pPr>
        <w:ind w:firstLine="560"/>
      </w:pPr>
    </w:p>
    <w:p>
      <w:pPr>
        <w:pStyle w:val="2"/>
        <w:ind w:firstLine="480"/>
      </w:pPr>
    </w:p>
    <w:p>
      <w:pPr>
        <w:ind w:firstLine="560"/>
      </w:pPr>
    </w:p>
    <w:p>
      <w:pPr>
        <w:pStyle w:val="12"/>
        <w:ind w:firstLine="360"/>
        <w:rPr>
          <w:rFonts w:ascii="Calibri" w:hAnsi="Calibri"/>
        </w:rPr>
      </w:pPr>
    </w:p>
    <w:sectPr>
      <w:footerReference r:id="rId10"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rPr>
                        <w:rFonts w:ascii="Times New Roman" w:hAnsi="Times New Roman" w:cs="Times New Roma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kZDAyMzVjNzkxODdlNTE1NGQyNDNmNWUxODI3ZTAifQ=="/>
  </w:docVars>
  <w:rsids>
    <w:rsidRoot w:val="00172A27"/>
    <w:rsid w:val="00002F70"/>
    <w:rsid w:val="0000762E"/>
    <w:rsid w:val="000143B3"/>
    <w:rsid w:val="00014B9D"/>
    <w:rsid w:val="0003520F"/>
    <w:rsid w:val="0005131C"/>
    <w:rsid w:val="00066571"/>
    <w:rsid w:val="00085794"/>
    <w:rsid w:val="000A62C6"/>
    <w:rsid w:val="000C1CE7"/>
    <w:rsid w:val="000D165B"/>
    <w:rsid w:val="0010379C"/>
    <w:rsid w:val="001468C3"/>
    <w:rsid w:val="00153212"/>
    <w:rsid w:val="00172A27"/>
    <w:rsid w:val="00180B2D"/>
    <w:rsid w:val="001A2312"/>
    <w:rsid w:val="001D3012"/>
    <w:rsid w:val="001E367A"/>
    <w:rsid w:val="001F4217"/>
    <w:rsid w:val="00240660"/>
    <w:rsid w:val="00261EE8"/>
    <w:rsid w:val="00282A56"/>
    <w:rsid w:val="002A260A"/>
    <w:rsid w:val="002A57F9"/>
    <w:rsid w:val="002D0C85"/>
    <w:rsid w:val="002D10BE"/>
    <w:rsid w:val="002F1F37"/>
    <w:rsid w:val="002F3CFC"/>
    <w:rsid w:val="003101D9"/>
    <w:rsid w:val="0031654D"/>
    <w:rsid w:val="00322A77"/>
    <w:rsid w:val="00327C16"/>
    <w:rsid w:val="0035374D"/>
    <w:rsid w:val="003B6D8A"/>
    <w:rsid w:val="003C19AC"/>
    <w:rsid w:val="003C1D0D"/>
    <w:rsid w:val="003C3F7C"/>
    <w:rsid w:val="003D4F5D"/>
    <w:rsid w:val="003E3509"/>
    <w:rsid w:val="0040003B"/>
    <w:rsid w:val="00402453"/>
    <w:rsid w:val="00421587"/>
    <w:rsid w:val="004241E3"/>
    <w:rsid w:val="004A7E60"/>
    <w:rsid w:val="004B6A11"/>
    <w:rsid w:val="004B7E1C"/>
    <w:rsid w:val="00506426"/>
    <w:rsid w:val="00507639"/>
    <w:rsid w:val="00526172"/>
    <w:rsid w:val="00534138"/>
    <w:rsid w:val="00553B63"/>
    <w:rsid w:val="00557952"/>
    <w:rsid w:val="00572D55"/>
    <w:rsid w:val="005A4C5C"/>
    <w:rsid w:val="005B361B"/>
    <w:rsid w:val="005C0808"/>
    <w:rsid w:val="005F17E5"/>
    <w:rsid w:val="00610F65"/>
    <w:rsid w:val="00624A14"/>
    <w:rsid w:val="0065214A"/>
    <w:rsid w:val="006530DE"/>
    <w:rsid w:val="00660FD7"/>
    <w:rsid w:val="00661D72"/>
    <w:rsid w:val="00667FB6"/>
    <w:rsid w:val="00676E58"/>
    <w:rsid w:val="00682D09"/>
    <w:rsid w:val="006A6901"/>
    <w:rsid w:val="006E1087"/>
    <w:rsid w:val="006F4B04"/>
    <w:rsid w:val="006F5E16"/>
    <w:rsid w:val="006F6C5B"/>
    <w:rsid w:val="0072604C"/>
    <w:rsid w:val="007327F0"/>
    <w:rsid w:val="007402DC"/>
    <w:rsid w:val="00746060"/>
    <w:rsid w:val="00765FED"/>
    <w:rsid w:val="00772528"/>
    <w:rsid w:val="00772A9A"/>
    <w:rsid w:val="00783A70"/>
    <w:rsid w:val="00795732"/>
    <w:rsid w:val="007B12FC"/>
    <w:rsid w:val="007E7D5A"/>
    <w:rsid w:val="0081299C"/>
    <w:rsid w:val="00852756"/>
    <w:rsid w:val="008679E9"/>
    <w:rsid w:val="00873960"/>
    <w:rsid w:val="00886A4F"/>
    <w:rsid w:val="00897DE4"/>
    <w:rsid w:val="008A0A8A"/>
    <w:rsid w:val="008B31E8"/>
    <w:rsid w:val="008B49F2"/>
    <w:rsid w:val="008C7FDD"/>
    <w:rsid w:val="008E2C90"/>
    <w:rsid w:val="00911DD3"/>
    <w:rsid w:val="00917AB9"/>
    <w:rsid w:val="0093350D"/>
    <w:rsid w:val="00955193"/>
    <w:rsid w:val="00955D72"/>
    <w:rsid w:val="00961C3F"/>
    <w:rsid w:val="00963930"/>
    <w:rsid w:val="00981449"/>
    <w:rsid w:val="0098643B"/>
    <w:rsid w:val="009B64C7"/>
    <w:rsid w:val="009C0E8D"/>
    <w:rsid w:val="009D35D7"/>
    <w:rsid w:val="00A068E7"/>
    <w:rsid w:val="00A44451"/>
    <w:rsid w:val="00A46205"/>
    <w:rsid w:val="00A62CFB"/>
    <w:rsid w:val="00A72BDB"/>
    <w:rsid w:val="00A87E05"/>
    <w:rsid w:val="00AA1189"/>
    <w:rsid w:val="00AB50B4"/>
    <w:rsid w:val="00AB6525"/>
    <w:rsid w:val="00AB7C57"/>
    <w:rsid w:val="00AC604D"/>
    <w:rsid w:val="00AD73F3"/>
    <w:rsid w:val="00AE3E81"/>
    <w:rsid w:val="00B018ED"/>
    <w:rsid w:val="00BA2648"/>
    <w:rsid w:val="00BC3054"/>
    <w:rsid w:val="00BD6E96"/>
    <w:rsid w:val="00C05780"/>
    <w:rsid w:val="00C254AE"/>
    <w:rsid w:val="00C254E5"/>
    <w:rsid w:val="00C41E62"/>
    <w:rsid w:val="00C42115"/>
    <w:rsid w:val="00CA086B"/>
    <w:rsid w:val="00CA57A4"/>
    <w:rsid w:val="00CC5AA9"/>
    <w:rsid w:val="00CD6F20"/>
    <w:rsid w:val="00CF1DBA"/>
    <w:rsid w:val="00D02C2D"/>
    <w:rsid w:val="00D21D8E"/>
    <w:rsid w:val="00D34268"/>
    <w:rsid w:val="00D35496"/>
    <w:rsid w:val="00D4589D"/>
    <w:rsid w:val="00D4737C"/>
    <w:rsid w:val="00D872E3"/>
    <w:rsid w:val="00DC1516"/>
    <w:rsid w:val="00E0465D"/>
    <w:rsid w:val="00E21D3B"/>
    <w:rsid w:val="00E231A5"/>
    <w:rsid w:val="00E41F1F"/>
    <w:rsid w:val="00E54032"/>
    <w:rsid w:val="00E5542D"/>
    <w:rsid w:val="00E57B20"/>
    <w:rsid w:val="00E66F28"/>
    <w:rsid w:val="00E67CBF"/>
    <w:rsid w:val="00E9653F"/>
    <w:rsid w:val="00ED23CF"/>
    <w:rsid w:val="00EE1B31"/>
    <w:rsid w:val="00EF02D9"/>
    <w:rsid w:val="00EF4F05"/>
    <w:rsid w:val="00F305FA"/>
    <w:rsid w:val="00F36A5C"/>
    <w:rsid w:val="00F46171"/>
    <w:rsid w:val="00F61B6B"/>
    <w:rsid w:val="00F8639F"/>
    <w:rsid w:val="00FF077E"/>
    <w:rsid w:val="00FF4A1E"/>
    <w:rsid w:val="01462137"/>
    <w:rsid w:val="019270DC"/>
    <w:rsid w:val="01DD16BC"/>
    <w:rsid w:val="0238697D"/>
    <w:rsid w:val="024402E9"/>
    <w:rsid w:val="027510EF"/>
    <w:rsid w:val="029806C9"/>
    <w:rsid w:val="02B5363B"/>
    <w:rsid w:val="0317747E"/>
    <w:rsid w:val="031B5C5A"/>
    <w:rsid w:val="03575D4B"/>
    <w:rsid w:val="03C16756"/>
    <w:rsid w:val="03CA4FF7"/>
    <w:rsid w:val="0481038F"/>
    <w:rsid w:val="04A26E3F"/>
    <w:rsid w:val="04E84E2C"/>
    <w:rsid w:val="05282148"/>
    <w:rsid w:val="05C43196"/>
    <w:rsid w:val="06053BFF"/>
    <w:rsid w:val="0626511C"/>
    <w:rsid w:val="068E02DA"/>
    <w:rsid w:val="06A674C8"/>
    <w:rsid w:val="06BD658F"/>
    <w:rsid w:val="06BF1205"/>
    <w:rsid w:val="06DF60F5"/>
    <w:rsid w:val="06FE6779"/>
    <w:rsid w:val="07605486"/>
    <w:rsid w:val="077E6AA6"/>
    <w:rsid w:val="079059D3"/>
    <w:rsid w:val="07E6582A"/>
    <w:rsid w:val="08594A92"/>
    <w:rsid w:val="087719E8"/>
    <w:rsid w:val="09334B70"/>
    <w:rsid w:val="09455482"/>
    <w:rsid w:val="09D35F9B"/>
    <w:rsid w:val="09E233D7"/>
    <w:rsid w:val="0A892BB2"/>
    <w:rsid w:val="0AF92E35"/>
    <w:rsid w:val="0B75127F"/>
    <w:rsid w:val="0B886508"/>
    <w:rsid w:val="0C2346FF"/>
    <w:rsid w:val="0C713A87"/>
    <w:rsid w:val="0CB36D43"/>
    <w:rsid w:val="0D27700F"/>
    <w:rsid w:val="0D3C3C1E"/>
    <w:rsid w:val="0D5120AF"/>
    <w:rsid w:val="0D8054ED"/>
    <w:rsid w:val="0DE666C8"/>
    <w:rsid w:val="0DFB5E2E"/>
    <w:rsid w:val="0F31474A"/>
    <w:rsid w:val="0F4D3C60"/>
    <w:rsid w:val="0F513719"/>
    <w:rsid w:val="0F724334"/>
    <w:rsid w:val="10FF47EA"/>
    <w:rsid w:val="11AA0225"/>
    <w:rsid w:val="12E040DD"/>
    <w:rsid w:val="1311511E"/>
    <w:rsid w:val="13295B6E"/>
    <w:rsid w:val="137B1AEE"/>
    <w:rsid w:val="13A82AA4"/>
    <w:rsid w:val="14BF02AD"/>
    <w:rsid w:val="14CF4C7A"/>
    <w:rsid w:val="153A66BC"/>
    <w:rsid w:val="1570511B"/>
    <w:rsid w:val="15B60568"/>
    <w:rsid w:val="1601458C"/>
    <w:rsid w:val="16476757"/>
    <w:rsid w:val="16EE6B62"/>
    <w:rsid w:val="1710180D"/>
    <w:rsid w:val="17912C90"/>
    <w:rsid w:val="17A7732C"/>
    <w:rsid w:val="1860131D"/>
    <w:rsid w:val="19264D75"/>
    <w:rsid w:val="19F17E07"/>
    <w:rsid w:val="1AD51D7F"/>
    <w:rsid w:val="1B2027D5"/>
    <w:rsid w:val="1B982850"/>
    <w:rsid w:val="1BAD47D2"/>
    <w:rsid w:val="1BC65521"/>
    <w:rsid w:val="1C357DD8"/>
    <w:rsid w:val="1C7519B3"/>
    <w:rsid w:val="1C7F1275"/>
    <w:rsid w:val="1C9408FA"/>
    <w:rsid w:val="1CF27F29"/>
    <w:rsid w:val="1D0A0009"/>
    <w:rsid w:val="1D124DC5"/>
    <w:rsid w:val="1D160E52"/>
    <w:rsid w:val="1DAF173A"/>
    <w:rsid w:val="1E103230"/>
    <w:rsid w:val="1E1C5387"/>
    <w:rsid w:val="1E3329F3"/>
    <w:rsid w:val="1E827F3E"/>
    <w:rsid w:val="1F3215AA"/>
    <w:rsid w:val="1F3F104F"/>
    <w:rsid w:val="2070591B"/>
    <w:rsid w:val="209A68E0"/>
    <w:rsid w:val="20EF574E"/>
    <w:rsid w:val="211711BE"/>
    <w:rsid w:val="232741D1"/>
    <w:rsid w:val="236D03FC"/>
    <w:rsid w:val="23AC1509"/>
    <w:rsid w:val="23E85AC3"/>
    <w:rsid w:val="240276D3"/>
    <w:rsid w:val="240F54A9"/>
    <w:rsid w:val="24215F3C"/>
    <w:rsid w:val="259A1EAA"/>
    <w:rsid w:val="25DC638D"/>
    <w:rsid w:val="27107E9E"/>
    <w:rsid w:val="27F719E7"/>
    <w:rsid w:val="2812227A"/>
    <w:rsid w:val="284309B0"/>
    <w:rsid w:val="28BE6F48"/>
    <w:rsid w:val="29066E10"/>
    <w:rsid w:val="297D2871"/>
    <w:rsid w:val="29DA34F7"/>
    <w:rsid w:val="2A646D78"/>
    <w:rsid w:val="2A7F659C"/>
    <w:rsid w:val="2B2739C6"/>
    <w:rsid w:val="2B2D41DC"/>
    <w:rsid w:val="2B3C1528"/>
    <w:rsid w:val="2B422DE5"/>
    <w:rsid w:val="2B5F3C1D"/>
    <w:rsid w:val="2B8146AA"/>
    <w:rsid w:val="2BA63024"/>
    <w:rsid w:val="2BCF5476"/>
    <w:rsid w:val="2BED035B"/>
    <w:rsid w:val="2C6015D4"/>
    <w:rsid w:val="2C9B28BD"/>
    <w:rsid w:val="2CB12655"/>
    <w:rsid w:val="2CBA576A"/>
    <w:rsid w:val="2CE93DEF"/>
    <w:rsid w:val="2CEE5AD9"/>
    <w:rsid w:val="2D215FD5"/>
    <w:rsid w:val="2DA07946"/>
    <w:rsid w:val="2DE6101E"/>
    <w:rsid w:val="2DED540D"/>
    <w:rsid w:val="2E5360C6"/>
    <w:rsid w:val="2E5954A7"/>
    <w:rsid w:val="2E6269AB"/>
    <w:rsid w:val="2EE3283D"/>
    <w:rsid w:val="2EFF033A"/>
    <w:rsid w:val="2F2A1A48"/>
    <w:rsid w:val="2F37118F"/>
    <w:rsid w:val="2F723F93"/>
    <w:rsid w:val="304D0355"/>
    <w:rsid w:val="30644229"/>
    <w:rsid w:val="30651CBE"/>
    <w:rsid w:val="306A7E1A"/>
    <w:rsid w:val="30770D64"/>
    <w:rsid w:val="31316879"/>
    <w:rsid w:val="31711BA6"/>
    <w:rsid w:val="317813CE"/>
    <w:rsid w:val="31957B77"/>
    <w:rsid w:val="31D35A32"/>
    <w:rsid w:val="324A0B1B"/>
    <w:rsid w:val="325D2C87"/>
    <w:rsid w:val="32C56140"/>
    <w:rsid w:val="32FB67D3"/>
    <w:rsid w:val="33402523"/>
    <w:rsid w:val="339E305E"/>
    <w:rsid w:val="33BC540E"/>
    <w:rsid w:val="34352F93"/>
    <w:rsid w:val="345D0F88"/>
    <w:rsid w:val="34B208EA"/>
    <w:rsid w:val="34F43878"/>
    <w:rsid w:val="353C4CBD"/>
    <w:rsid w:val="35D51E4A"/>
    <w:rsid w:val="36F32C4F"/>
    <w:rsid w:val="37296BB6"/>
    <w:rsid w:val="377E6513"/>
    <w:rsid w:val="37BE0844"/>
    <w:rsid w:val="37CE7CAA"/>
    <w:rsid w:val="388D291C"/>
    <w:rsid w:val="38CF5A6D"/>
    <w:rsid w:val="38DE301E"/>
    <w:rsid w:val="39307218"/>
    <w:rsid w:val="39A65BCE"/>
    <w:rsid w:val="39AD1758"/>
    <w:rsid w:val="39EF1F64"/>
    <w:rsid w:val="3A0126C4"/>
    <w:rsid w:val="3AAC79AC"/>
    <w:rsid w:val="3AE2590E"/>
    <w:rsid w:val="3AF25195"/>
    <w:rsid w:val="3AFF73C0"/>
    <w:rsid w:val="3B0B1C87"/>
    <w:rsid w:val="3B4C36A2"/>
    <w:rsid w:val="3BAB6959"/>
    <w:rsid w:val="3BFD2166"/>
    <w:rsid w:val="3C001683"/>
    <w:rsid w:val="3C3627DD"/>
    <w:rsid w:val="3C9328B4"/>
    <w:rsid w:val="3CC029C8"/>
    <w:rsid w:val="3CD45C3C"/>
    <w:rsid w:val="3CDD3D19"/>
    <w:rsid w:val="3CF40319"/>
    <w:rsid w:val="3D137AD1"/>
    <w:rsid w:val="3D7C3A12"/>
    <w:rsid w:val="3DC42D42"/>
    <w:rsid w:val="3DD86E06"/>
    <w:rsid w:val="3E816876"/>
    <w:rsid w:val="3F293698"/>
    <w:rsid w:val="3F8C3BD4"/>
    <w:rsid w:val="41156761"/>
    <w:rsid w:val="418B1761"/>
    <w:rsid w:val="429A1DA4"/>
    <w:rsid w:val="42C944E1"/>
    <w:rsid w:val="42D3311D"/>
    <w:rsid w:val="43BE2AAF"/>
    <w:rsid w:val="440C2076"/>
    <w:rsid w:val="44E56313"/>
    <w:rsid w:val="4526152E"/>
    <w:rsid w:val="45E035D5"/>
    <w:rsid w:val="467B7A42"/>
    <w:rsid w:val="47015491"/>
    <w:rsid w:val="475C50E0"/>
    <w:rsid w:val="47675699"/>
    <w:rsid w:val="479F0317"/>
    <w:rsid w:val="47E61CD2"/>
    <w:rsid w:val="48565BCE"/>
    <w:rsid w:val="485D19E1"/>
    <w:rsid w:val="48717D68"/>
    <w:rsid w:val="48FD2C21"/>
    <w:rsid w:val="49997944"/>
    <w:rsid w:val="49DE1D68"/>
    <w:rsid w:val="4A087156"/>
    <w:rsid w:val="4AC37E35"/>
    <w:rsid w:val="4B446921"/>
    <w:rsid w:val="4B6B1D6B"/>
    <w:rsid w:val="4C1B40FC"/>
    <w:rsid w:val="4C3720D7"/>
    <w:rsid w:val="4C6E7486"/>
    <w:rsid w:val="4CB77D21"/>
    <w:rsid w:val="4D393F5F"/>
    <w:rsid w:val="4D571125"/>
    <w:rsid w:val="4D5A3CDA"/>
    <w:rsid w:val="4DD400B2"/>
    <w:rsid w:val="4EAA09C0"/>
    <w:rsid w:val="4F135E89"/>
    <w:rsid w:val="4F2E6B6E"/>
    <w:rsid w:val="4F611FA4"/>
    <w:rsid w:val="4F63227D"/>
    <w:rsid w:val="4F9B2317"/>
    <w:rsid w:val="4FA72C0C"/>
    <w:rsid w:val="50466AB7"/>
    <w:rsid w:val="50F976F7"/>
    <w:rsid w:val="51926A1B"/>
    <w:rsid w:val="52637A82"/>
    <w:rsid w:val="527B5387"/>
    <w:rsid w:val="52B4109F"/>
    <w:rsid w:val="53B362E0"/>
    <w:rsid w:val="53C1756D"/>
    <w:rsid w:val="544552E3"/>
    <w:rsid w:val="54BD026B"/>
    <w:rsid w:val="55C40EA0"/>
    <w:rsid w:val="5605680A"/>
    <w:rsid w:val="560C59C6"/>
    <w:rsid w:val="561B7063"/>
    <w:rsid w:val="567B3A1B"/>
    <w:rsid w:val="568E4CF4"/>
    <w:rsid w:val="56B90642"/>
    <w:rsid w:val="56DE0D16"/>
    <w:rsid w:val="56E85883"/>
    <w:rsid w:val="570047CB"/>
    <w:rsid w:val="5747714D"/>
    <w:rsid w:val="574F1755"/>
    <w:rsid w:val="576333FC"/>
    <w:rsid w:val="58BB10D6"/>
    <w:rsid w:val="58EF5E25"/>
    <w:rsid w:val="58FB53D7"/>
    <w:rsid w:val="591E58EA"/>
    <w:rsid w:val="59335F68"/>
    <w:rsid w:val="59F836A3"/>
    <w:rsid w:val="59FE4C74"/>
    <w:rsid w:val="5A866FF7"/>
    <w:rsid w:val="5AA82E65"/>
    <w:rsid w:val="5AFF28C5"/>
    <w:rsid w:val="5B222F7F"/>
    <w:rsid w:val="5BD234D5"/>
    <w:rsid w:val="5BFA46FF"/>
    <w:rsid w:val="5BFB4290"/>
    <w:rsid w:val="5C124E90"/>
    <w:rsid w:val="5C59780A"/>
    <w:rsid w:val="5C5B172B"/>
    <w:rsid w:val="5CD51098"/>
    <w:rsid w:val="5DB16EA6"/>
    <w:rsid w:val="5E133820"/>
    <w:rsid w:val="5E6700D9"/>
    <w:rsid w:val="5E816E27"/>
    <w:rsid w:val="5E817392"/>
    <w:rsid w:val="5F294BB2"/>
    <w:rsid w:val="5FB852B6"/>
    <w:rsid w:val="5FCB666D"/>
    <w:rsid w:val="605A1E8A"/>
    <w:rsid w:val="607E43A5"/>
    <w:rsid w:val="60C615B1"/>
    <w:rsid w:val="60D701B1"/>
    <w:rsid w:val="613D7279"/>
    <w:rsid w:val="61806B77"/>
    <w:rsid w:val="61857AB4"/>
    <w:rsid w:val="61A56B29"/>
    <w:rsid w:val="61F304FF"/>
    <w:rsid w:val="62457700"/>
    <w:rsid w:val="62464205"/>
    <w:rsid w:val="62AD4EB5"/>
    <w:rsid w:val="636E0BC5"/>
    <w:rsid w:val="63AF42C2"/>
    <w:rsid w:val="6403785B"/>
    <w:rsid w:val="642002C9"/>
    <w:rsid w:val="64285C42"/>
    <w:rsid w:val="646D0C78"/>
    <w:rsid w:val="64842DD7"/>
    <w:rsid w:val="652874E7"/>
    <w:rsid w:val="65CF467C"/>
    <w:rsid w:val="65F048D3"/>
    <w:rsid w:val="66134F01"/>
    <w:rsid w:val="663522BE"/>
    <w:rsid w:val="66417EBF"/>
    <w:rsid w:val="673373DE"/>
    <w:rsid w:val="67661A84"/>
    <w:rsid w:val="67696D2B"/>
    <w:rsid w:val="67AF71E8"/>
    <w:rsid w:val="67B83763"/>
    <w:rsid w:val="67DF2395"/>
    <w:rsid w:val="680815E0"/>
    <w:rsid w:val="681E603B"/>
    <w:rsid w:val="68243042"/>
    <w:rsid w:val="6842567C"/>
    <w:rsid w:val="684A4BDA"/>
    <w:rsid w:val="685D3400"/>
    <w:rsid w:val="68B04AF5"/>
    <w:rsid w:val="68E81692"/>
    <w:rsid w:val="690B7659"/>
    <w:rsid w:val="69AF31EE"/>
    <w:rsid w:val="69FB2508"/>
    <w:rsid w:val="6A4868BF"/>
    <w:rsid w:val="6A78244B"/>
    <w:rsid w:val="6AB76808"/>
    <w:rsid w:val="6AE62048"/>
    <w:rsid w:val="6B8E66B8"/>
    <w:rsid w:val="6BC7168B"/>
    <w:rsid w:val="6C746319"/>
    <w:rsid w:val="6C8C1389"/>
    <w:rsid w:val="6CC101D1"/>
    <w:rsid w:val="6CFB3AFF"/>
    <w:rsid w:val="6D823C28"/>
    <w:rsid w:val="6DAA5B5C"/>
    <w:rsid w:val="6DB83FA3"/>
    <w:rsid w:val="6DBC0F7A"/>
    <w:rsid w:val="6E2A554B"/>
    <w:rsid w:val="6F826253"/>
    <w:rsid w:val="6F8A067B"/>
    <w:rsid w:val="6FD13FED"/>
    <w:rsid w:val="702D77CF"/>
    <w:rsid w:val="70391A1E"/>
    <w:rsid w:val="703C4C55"/>
    <w:rsid w:val="703D64DE"/>
    <w:rsid w:val="70602B31"/>
    <w:rsid w:val="70A80E32"/>
    <w:rsid w:val="70E6799B"/>
    <w:rsid w:val="71167DAF"/>
    <w:rsid w:val="726C1C25"/>
    <w:rsid w:val="72C5056A"/>
    <w:rsid w:val="72CF6FB6"/>
    <w:rsid w:val="733653DE"/>
    <w:rsid w:val="736B7275"/>
    <w:rsid w:val="74102160"/>
    <w:rsid w:val="74FB6CD2"/>
    <w:rsid w:val="75C07C83"/>
    <w:rsid w:val="75D21F32"/>
    <w:rsid w:val="75E473F2"/>
    <w:rsid w:val="75F657F0"/>
    <w:rsid w:val="763D3EC5"/>
    <w:rsid w:val="76814E3F"/>
    <w:rsid w:val="76E91856"/>
    <w:rsid w:val="76F678F9"/>
    <w:rsid w:val="77904B71"/>
    <w:rsid w:val="77A76C57"/>
    <w:rsid w:val="77D46711"/>
    <w:rsid w:val="780C14A2"/>
    <w:rsid w:val="7843102C"/>
    <w:rsid w:val="787234B4"/>
    <w:rsid w:val="78D505C5"/>
    <w:rsid w:val="78DF2BF0"/>
    <w:rsid w:val="790319F0"/>
    <w:rsid w:val="7911327A"/>
    <w:rsid w:val="79565136"/>
    <w:rsid w:val="7A1F5A07"/>
    <w:rsid w:val="7A40657A"/>
    <w:rsid w:val="7A517160"/>
    <w:rsid w:val="7AAA606B"/>
    <w:rsid w:val="7B656A42"/>
    <w:rsid w:val="7B7934BC"/>
    <w:rsid w:val="7B7D6A07"/>
    <w:rsid w:val="7C040E6D"/>
    <w:rsid w:val="7C24753A"/>
    <w:rsid w:val="7C2A332A"/>
    <w:rsid w:val="7C4040FE"/>
    <w:rsid w:val="7C962B24"/>
    <w:rsid w:val="7C9C1A10"/>
    <w:rsid w:val="7CA20A94"/>
    <w:rsid w:val="7CA54866"/>
    <w:rsid w:val="7CB51E4D"/>
    <w:rsid w:val="7D2F1070"/>
    <w:rsid w:val="7D662C87"/>
    <w:rsid w:val="7E8E59D6"/>
    <w:rsid w:val="7EDE0D89"/>
    <w:rsid w:val="7EDE6852"/>
    <w:rsid w:val="7EEA05C4"/>
    <w:rsid w:val="7F2F744B"/>
    <w:rsid w:val="7F60731B"/>
    <w:rsid w:val="7FB1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7">
    <w:name w:val="heading 4"/>
    <w:basedOn w:val="1"/>
    <w:next w:val="8"/>
    <w:qFormat/>
    <w:uiPriority w:val="0"/>
    <w:pPr>
      <w:keepNext/>
      <w:keepLines/>
      <w:spacing w:beforeLines="100"/>
      <w:outlineLvl w:val="3"/>
    </w:pPr>
    <w:rPr>
      <w:rFonts w:ascii="Arial" w:hAnsi="Arial" w:eastAsia="黑体"/>
      <w:bCs/>
      <w:sz w:val="24"/>
      <w:szCs w:val="28"/>
    </w:rPr>
  </w:style>
  <w:style w:type="paragraph" w:styleId="10">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semiHidden/>
    <w:qFormat/>
    <w:uiPriority w:val="0"/>
    <w:pPr>
      <w:spacing w:line="360" w:lineRule="auto"/>
      <w:ind w:firstLine="480" w:firstLineChars="200"/>
    </w:pPr>
    <w:rPr>
      <w:sz w:val="24"/>
    </w:rPr>
  </w:style>
  <w:style w:type="paragraph" w:customStyle="1" w:styleId="8">
    <w:name w:val="0说明正文"/>
    <w:basedOn w:val="9"/>
    <w:qFormat/>
    <w:uiPriority w:val="0"/>
    <w:pPr>
      <w:spacing w:beforeLines="50" w:afterLines="50" w:line="240" w:lineRule="auto"/>
      <w:ind w:firstLine="200"/>
    </w:pPr>
    <w:rPr>
      <w:sz w:val="21"/>
    </w:rPr>
  </w:style>
  <w:style w:type="paragraph" w:customStyle="1" w:styleId="9">
    <w:name w:val="样式 正文文本缩进 + 首行缩进:  2 字符"/>
    <w:basedOn w:val="3"/>
    <w:qFormat/>
    <w:uiPriority w:val="0"/>
    <w:pPr>
      <w:ind w:firstLine="420"/>
    </w:pPr>
    <w:rPr>
      <w:rFonts w:cs="宋体"/>
      <w:szCs w:val="20"/>
    </w:rPr>
  </w:style>
  <w:style w:type="paragraph" w:styleId="11">
    <w:name w:val="annotation text"/>
    <w:basedOn w:val="1"/>
    <w:link w:val="30"/>
    <w:qFormat/>
    <w:uiPriority w:val="0"/>
    <w:pPr>
      <w:jc w:val="left"/>
    </w:pPr>
  </w:style>
  <w:style w:type="paragraph" w:styleId="12">
    <w:name w:val="Balloon Text"/>
    <w:basedOn w:val="1"/>
    <w:link w:val="97"/>
    <w:qFormat/>
    <w:uiPriority w:val="99"/>
    <w:rPr>
      <w:rFonts w:ascii="Times New Roman" w:hAnsi="Times New Roman" w:eastAsia="宋体" w:cs="Times New Roman"/>
      <w:sz w:val="18"/>
      <w:szCs w:val="18"/>
    </w:rPr>
  </w:style>
  <w:style w:type="paragraph" w:styleId="13">
    <w:name w:val="footer"/>
    <w:basedOn w:val="1"/>
    <w:link w:val="99"/>
    <w:qFormat/>
    <w:uiPriority w:val="99"/>
    <w:pPr>
      <w:tabs>
        <w:tab w:val="center" w:pos="4153"/>
        <w:tab w:val="right" w:pos="8306"/>
      </w:tabs>
      <w:snapToGrid w:val="0"/>
      <w:jc w:val="left"/>
    </w:pPr>
    <w:rPr>
      <w:sz w:val="18"/>
    </w:rPr>
  </w:style>
  <w:style w:type="paragraph" w:styleId="14">
    <w:name w:val="header"/>
    <w:basedOn w:val="1"/>
    <w:link w:val="9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jc w:val="left"/>
    </w:pPr>
    <w:rPr>
      <w:rFonts w:cs="Times New Roman"/>
      <w:kern w:val="0"/>
      <w:sz w:val="24"/>
    </w:rPr>
  </w:style>
  <w:style w:type="paragraph" w:styleId="18">
    <w:name w:val="annotation subject"/>
    <w:basedOn w:val="11"/>
    <w:next w:val="11"/>
    <w:link w:val="31"/>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color w:val="333333"/>
      <w:u w:val="none"/>
    </w:rPr>
  </w:style>
  <w:style w:type="character" w:styleId="24">
    <w:name w:val="Emphasis"/>
    <w:basedOn w:val="21"/>
    <w:qFormat/>
    <w:uiPriority w:val="0"/>
  </w:style>
  <w:style w:type="character" w:styleId="25">
    <w:name w:val="Hyperlink"/>
    <w:basedOn w:val="21"/>
    <w:qFormat/>
    <w:uiPriority w:val="99"/>
    <w:rPr>
      <w:color w:val="333333"/>
      <w:u w:val="none"/>
    </w:rPr>
  </w:style>
  <w:style w:type="character" w:styleId="26">
    <w:name w:val="annotation reference"/>
    <w:basedOn w:val="21"/>
    <w:qFormat/>
    <w:uiPriority w:val="0"/>
    <w:rPr>
      <w:sz w:val="21"/>
      <w:szCs w:val="21"/>
    </w:rPr>
  </w:style>
  <w:style w:type="character" w:customStyle="1" w:styleId="27">
    <w:name w:val="font21"/>
    <w:basedOn w:val="21"/>
    <w:qFormat/>
    <w:uiPriority w:val="0"/>
    <w:rPr>
      <w:rFonts w:hint="default" w:ascii="Times New Roman" w:hAnsi="Times New Roman" w:cs="Times New Roman"/>
      <w:color w:val="000000"/>
      <w:sz w:val="21"/>
      <w:szCs w:val="21"/>
      <w:u w:val="none"/>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批注文字 字符"/>
    <w:basedOn w:val="21"/>
    <w:link w:val="11"/>
    <w:qFormat/>
    <w:uiPriority w:val="0"/>
    <w:rPr>
      <w:rFonts w:asciiTheme="minorHAnsi" w:hAnsiTheme="minorHAnsi" w:eastAsiaTheme="minorEastAsia" w:cstheme="minorBidi"/>
      <w:kern w:val="2"/>
      <w:sz w:val="21"/>
      <w:szCs w:val="24"/>
    </w:rPr>
  </w:style>
  <w:style w:type="character" w:customStyle="1" w:styleId="31">
    <w:name w:val="批注主题 字符"/>
    <w:basedOn w:val="30"/>
    <w:link w:val="18"/>
    <w:qFormat/>
    <w:uiPriority w:val="0"/>
    <w:rPr>
      <w:rFonts w:asciiTheme="minorHAnsi" w:hAnsiTheme="minorHAnsi" w:eastAsiaTheme="minorEastAsia" w:cstheme="minorBidi"/>
      <w:b/>
      <w:bCs/>
      <w:kern w:val="2"/>
      <w:sz w:val="21"/>
      <w:szCs w:val="24"/>
    </w:rPr>
  </w:style>
  <w:style w:type="character" w:customStyle="1" w:styleId="32">
    <w:name w:val="NormalCharacter"/>
    <w:qFormat/>
    <w:uiPriority w:val="0"/>
  </w:style>
  <w:style w:type="character" w:customStyle="1" w:styleId="33">
    <w:name w:val="hs1"/>
    <w:basedOn w:val="21"/>
    <w:qFormat/>
    <w:uiPriority w:val="0"/>
    <w:rPr>
      <w:shd w:val="clear" w:color="auto" w:fill="D4D4D4"/>
    </w:rPr>
  </w:style>
  <w:style w:type="character" w:customStyle="1" w:styleId="34">
    <w:name w:val="sp04"/>
    <w:basedOn w:val="21"/>
    <w:qFormat/>
    <w:uiPriority w:val="0"/>
  </w:style>
  <w:style w:type="character" w:customStyle="1" w:styleId="35">
    <w:name w:val="pic-txt"/>
    <w:basedOn w:val="21"/>
    <w:qFormat/>
    <w:uiPriority w:val="0"/>
  </w:style>
  <w:style w:type="character" w:customStyle="1" w:styleId="36">
    <w:name w:val="pic-txt1"/>
    <w:basedOn w:val="21"/>
    <w:qFormat/>
    <w:uiPriority w:val="0"/>
  </w:style>
  <w:style w:type="character" w:customStyle="1" w:styleId="37">
    <w:name w:val="pic-txt2"/>
    <w:basedOn w:val="21"/>
    <w:qFormat/>
    <w:uiPriority w:val="0"/>
  </w:style>
  <w:style w:type="character" w:customStyle="1" w:styleId="38">
    <w:name w:val="pic-txt3"/>
    <w:basedOn w:val="21"/>
    <w:qFormat/>
    <w:uiPriority w:val="0"/>
  </w:style>
  <w:style w:type="character" w:customStyle="1" w:styleId="39">
    <w:name w:val="red"/>
    <w:basedOn w:val="21"/>
    <w:qFormat/>
    <w:uiPriority w:val="0"/>
    <w:rPr>
      <w:color w:val="FF0000"/>
    </w:rPr>
  </w:style>
  <w:style w:type="character" w:customStyle="1" w:styleId="40">
    <w:name w:val="zh"/>
    <w:basedOn w:val="21"/>
    <w:qFormat/>
    <w:uiPriority w:val="0"/>
    <w:rPr>
      <w:color w:val="747474"/>
      <w:sz w:val="18"/>
      <w:szCs w:val="18"/>
      <w:bdr w:val="single" w:color="DBDBDB" w:sz="6" w:space="0"/>
      <w:shd w:val="clear" w:color="auto" w:fill="FFFFFF"/>
    </w:rPr>
  </w:style>
  <w:style w:type="character" w:customStyle="1" w:styleId="41">
    <w:name w:val="mm"/>
    <w:basedOn w:val="21"/>
    <w:qFormat/>
    <w:uiPriority w:val="0"/>
    <w:rPr>
      <w:color w:val="747474"/>
      <w:sz w:val="18"/>
      <w:szCs w:val="18"/>
      <w:bdr w:val="single" w:color="DBDBDB" w:sz="6" w:space="0"/>
      <w:shd w:val="clear" w:color="auto" w:fill="FFFFFF"/>
    </w:rPr>
  </w:style>
  <w:style w:type="character" w:customStyle="1" w:styleId="42">
    <w:name w:val="ic02"/>
    <w:basedOn w:val="21"/>
    <w:qFormat/>
    <w:uiPriority w:val="0"/>
  </w:style>
  <w:style w:type="character" w:customStyle="1" w:styleId="43">
    <w:name w:val="icon01"/>
    <w:basedOn w:val="21"/>
    <w:qFormat/>
    <w:uiPriority w:val="0"/>
  </w:style>
  <w:style w:type="character" w:customStyle="1" w:styleId="44">
    <w:name w:val="icon011"/>
    <w:basedOn w:val="21"/>
    <w:qFormat/>
    <w:uiPriority w:val="0"/>
  </w:style>
  <w:style w:type="character" w:customStyle="1" w:styleId="45">
    <w:name w:val="icon012"/>
    <w:basedOn w:val="21"/>
    <w:qFormat/>
    <w:uiPriority w:val="0"/>
  </w:style>
  <w:style w:type="character" w:customStyle="1" w:styleId="46">
    <w:name w:val="icon013"/>
    <w:basedOn w:val="21"/>
    <w:qFormat/>
    <w:uiPriority w:val="0"/>
  </w:style>
  <w:style w:type="character" w:customStyle="1" w:styleId="47">
    <w:name w:val="icon02"/>
    <w:basedOn w:val="21"/>
    <w:qFormat/>
    <w:uiPriority w:val="0"/>
  </w:style>
  <w:style w:type="character" w:customStyle="1" w:styleId="48">
    <w:name w:val="icon021"/>
    <w:basedOn w:val="21"/>
    <w:qFormat/>
    <w:uiPriority w:val="0"/>
  </w:style>
  <w:style w:type="character" w:customStyle="1" w:styleId="49">
    <w:name w:val="icon022"/>
    <w:basedOn w:val="21"/>
    <w:qFormat/>
    <w:uiPriority w:val="0"/>
  </w:style>
  <w:style w:type="character" w:customStyle="1" w:styleId="50">
    <w:name w:val="icon023"/>
    <w:basedOn w:val="21"/>
    <w:qFormat/>
    <w:uiPriority w:val="0"/>
  </w:style>
  <w:style w:type="character" w:customStyle="1" w:styleId="51">
    <w:name w:val="icon03"/>
    <w:basedOn w:val="21"/>
    <w:qFormat/>
    <w:uiPriority w:val="0"/>
  </w:style>
  <w:style w:type="character" w:customStyle="1" w:styleId="52">
    <w:name w:val="icon031"/>
    <w:basedOn w:val="21"/>
    <w:qFormat/>
    <w:uiPriority w:val="0"/>
  </w:style>
  <w:style w:type="character" w:customStyle="1" w:styleId="53">
    <w:name w:val="icon032"/>
    <w:basedOn w:val="21"/>
    <w:qFormat/>
    <w:uiPriority w:val="0"/>
  </w:style>
  <w:style w:type="character" w:customStyle="1" w:styleId="54">
    <w:name w:val="icon033"/>
    <w:basedOn w:val="21"/>
    <w:qFormat/>
    <w:uiPriority w:val="0"/>
  </w:style>
  <w:style w:type="character" w:customStyle="1" w:styleId="55">
    <w:name w:val="icon05"/>
    <w:basedOn w:val="21"/>
    <w:qFormat/>
    <w:uiPriority w:val="0"/>
  </w:style>
  <w:style w:type="character" w:customStyle="1" w:styleId="56">
    <w:name w:val="icon051"/>
    <w:basedOn w:val="21"/>
    <w:qFormat/>
    <w:uiPriority w:val="0"/>
  </w:style>
  <w:style w:type="character" w:customStyle="1" w:styleId="57">
    <w:name w:val="icon052"/>
    <w:basedOn w:val="21"/>
    <w:qFormat/>
    <w:uiPriority w:val="0"/>
  </w:style>
  <w:style w:type="character" w:customStyle="1" w:styleId="58">
    <w:name w:val="icon04"/>
    <w:basedOn w:val="21"/>
    <w:qFormat/>
    <w:uiPriority w:val="0"/>
  </w:style>
  <w:style w:type="character" w:customStyle="1" w:styleId="59">
    <w:name w:val="icon041"/>
    <w:basedOn w:val="21"/>
    <w:qFormat/>
    <w:uiPriority w:val="0"/>
  </w:style>
  <w:style w:type="character" w:customStyle="1" w:styleId="60">
    <w:name w:val="icon042"/>
    <w:basedOn w:val="21"/>
    <w:qFormat/>
    <w:uiPriority w:val="0"/>
  </w:style>
  <w:style w:type="character" w:customStyle="1" w:styleId="61">
    <w:name w:val="nr"/>
    <w:basedOn w:val="21"/>
    <w:qFormat/>
    <w:uiPriority w:val="0"/>
    <w:rPr>
      <w:color w:val="666666"/>
      <w:u w:val="none"/>
      <w:shd w:val="clear" w:color="auto" w:fill="F3F3F3"/>
    </w:rPr>
  </w:style>
  <w:style w:type="character" w:customStyle="1" w:styleId="62">
    <w:name w:val="org"/>
    <w:basedOn w:val="21"/>
    <w:qFormat/>
    <w:uiPriority w:val="0"/>
    <w:rPr>
      <w:shd w:val="clear" w:color="auto" w:fill="FF9138"/>
    </w:rPr>
  </w:style>
  <w:style w:type="character" w:customStyle="1" w:styleId="63">
    <w:name w:val="ic01"/>
    <w:basedOn w:val="21"/>
    <w:qFormat/>
    <w:uiPriority w:val="0"/>
  </w:style>
  <w:style w:type="character" w:customStyle="1" w:styleId="64">
    <w:name w:val="qz_icon01"/>
    <w:basedOn w:val="21"/>
    <w:qFormat/>
    <w:uiPriority w:val="0"/>
  </w:style>
  <w:style w:type="character" w:customStyle="1" w:styleId="65">
    <w:name w:val="qz_icon02"/>
    <w:basedOn w:val="21"/>
    <w:qFormat/>
    <w:uiPriority w:val="0"/>
  </w:style>
  <w:style w:type="character" w:customStyle="1" w:styleId="66">
    <w:name w:val="time"/>
    <w:basedOn w:val="21"/>
    <w:qFormat/>
    <w:uiPriority w:val="0"/>
    <w:rPr>
      <w:color w:val="FFFFFF"/>
      <w:sz w:val="18"/>
      <w:szCs w:val="18"/>
      <w:shd w:val="clear" w:color="auto" w:fill="82CFFF"/>
    </w:rPr>
  </w:style>
  <w:style w:type="character" w:customStyle="1" w:styleId="67">
    <w:name w:val="under"/>
    <w:basedOn w:val="21"/>
    <w:qFormat/>
    <w:uiPriority w:val="0"/>
    <w:rPr>
      <w:color w:val="FFFFFF"/>
    </w:rPr>
  </w:style>
  <w:style w:type="character" w:customStyle="1" w:styleId="68">
    <w:name w:val="hs2"/>
    <w:basedOn w:val="21"/>
    <w:qFormat/>
    <w:uiPriority w:val="0"/>
    <w:rPr>
      <w:color w:val="999999"/>
    </w:rPr>
  </w:style>
  <w:style w:type="character" w:customStyle="1" w:styleId="69">
    <w:name w:val="sp01"/>
    <w:basedOn w:val="21"/>
    <w:qFormat/>
    <w:uiPriority w:val="0"/>
  </w:style>
  <w:style w:type="character" w:customStyle="1" w:styleId="70">
    <w:name w:val="sp03"/>
    <w:basedOn w:val="21"/>
    <w:qFormat/>
    <w:uiPriority w:val="0"/>
  </w:style>
  <w:style w:type="character" w:customStyle="1" w:styleId="71">
    <w:name w:val="sp02"/>
    <w:basedOn w:val="21"/>
    <w:qFormat/>
    <w:uiPriority w:val="0"/>
  </w:style>
  <w:style w:type="character" w:customStyle="1" w:styleId="72">
    <w:name w:val="blue1"/>
    <w:basedOn w:val="21"/>
    <w:qFormat/>
    <w:uiPriority w:val="0"/>
    <w:rPr>
      <w:color w:val="444CCC"/>
      <w:bdr w:val="single" w:color="444CCC" w:sz="6" w:space="0"/>
    </w:rPr>
  </w:style>
  <w:style w:type="character" w:customStyle="1" w:styleId="73">
    <w:name w:val="red4"/>
    <w:basedOn w:val="21"/>
    <w:qFormat/>
    <w:uiPriority w:val="0"/>
    <w:rPr>
      <w:color w:val="FF0000"/>
    </w:rPr>
  </w:style>
  <w:style w:type="character" w:customStyle="1" w:styleId="74">
    <w:name w:val="icon0110"/>
    <w:basedOn w:val="21"/>
    <w:qFormat/>
    <w:uiPriority w:val="0"/>
  </w:style>
  <w:style w:type="character" w:customStyle="1" w:styleId="75">
    <w:name w:val="icon0111"/>
    <w:basedOn w:val="21"/>
    <w:qFormat/>
    <w:uiPriority w:val="0"/>
  </w:style>
  <w:style w:type="character" w:customStyle="1" w:styleId="76">
    <w:name w:val="icon0112"/>
    <w:basedOn w:val="21"/>
    <w:qFormat/>
    <w:uiPriority w:val="0"/>
  </w:style>
  <w:style w:type="character" w:customStyle="1" w:styleId="77">
    <w:name w:val="icon0113"/>
    <w:basedOn w:val="21"/>
    <w:qFormat/>
    <w:uiPriority w:val="0"/>
  </w:style>
  <w:style w:type="character" w:customStyle="1" w:styleId="78">
    <w:name w:val="icon024"/>
    <w:basedOn w:val="21"/>
    <w:qFormat/>
    <w:uiPriority w:val="0"/>
  </w:style>
  <w:style w:type="character" w:customStyle="1" w:styleId="79">
    <w:name w:val="icon025"/>
    <w:basedOn w:val="21"/>
    <w:qFormat/>
    <w:uiPriority w:val="0"/>
  </w:style>
  <w:style w:type="character" w:customStyle="1" w:styleId="80">
    <w:name w:val="icon026"/>
    <w:basedOn w:val="21"/>
    <w:qFormat/>
    <w:uiPriority w:val="0"/>
  </w:style>
  <w:style w:type="character" w:customStyle="1" w:styleId="81">
    <w:name w:val="icon034"/>
    <w:basedOn w:val="21"/>
    <w:qFormat/>
    <w:uiPriority w:val="0"/>
  </w:style>
  <w:style w:type="character" w:customStyle="1" w:styleId="82">
    <w:name w:val="icon035"/>
    <w:basedOn w:val="21"/>
    <w:qFormat/>
    <w:uiPriority w:val="0"/>
  </w:style>
  <w:style w:type="character" w:customStyle="1" w:styleId="83">
    <w:name w:val="icon036"/>
    <w:basedOn w:val="21"/>
    <w:qFormat/>
    <w:uiPriority w:val="0"/>
  </w:style>
  <w:style w:type="character" w:customStyle="1" w:styleId="84">
    <w:name w:val="icon043"/>
    <w:basedOn w:val="21"/>
    <w:qFormat/>
    <w:uiPriority w:val="0"/>
  </w:style>
  <w:style w:type="character" w:customStyle="1" w:styleId="85">
    <w:name w:val="icon044"/>
    <w:basedOn w:val="21"/>
    <w:qFormat/>
    <w:uiPriority w:val="0"/>
  </w:style>
  <w:style w:type="character" w:customStyle="1" w:styleId="86">
    <w:name w:val="icon053"/>
    <w:basedOn w:val="21"/>
    <w:qFormat/>
    <w:uiPriority w:val="0"/>
  </w:style>
  <w:style w:type="character" w:customStyle="1" w:styleId="87">
    <w:name w:val="icon054"/>
    <w:basedOn w:val="21"/>
    <w:qFormat/>
    <w:uiPriority w:val="0"/>
  </w:style>
  <w:style w:type="character" w:customStyle="1" w:styleId="88">
    <w:name w:val="org1"/>
    <w:basedOn w:val="21"/>
    <w:qFormat/>
    <w:uiPriority w:val="0"/>
    <w:rPr>
      <w:shd w:val="clear" w:color="auto" w:fill="FF9138"/>
    </w:rPr>
  </w:style>
  <w:style w:type="character" w:customStyle="1" w:styleId="89">
    <w:name w:val="hs11"/>
    <w:basedOn w:val="21"/>
    <w:qFormat/>
    <w:uiPriority w:val="0"/>
    <w:rPr>
      <w:shd w:val="clear" w:color="auto" w:fill="D4D4D4"/>
    </w:rPr>
  </w:style>
  <w:style w:type="character" w:customStyle="1" w:styleId="90">
    <w:name w:val="icon015"/>
    <w:basedOn w:val="21"/>
    <w:qFormat/>
    <w:uiPriority w:val="0"/>
  </w:style>
  <w:style w:type="character" w:customStyle="1" w:styleId="91">
    <w:name w:val="icon016"/>
    <w:basedOn w:val="21"/>
    <w:qFormat/>
    <w:uiPriority w:val="0"/>
  </w:style>
  <w:style w:type="character" w:customStyle="1" w:styleId="92">
    <w:name w:val="icon017"/>
    <w:basedOn w:val="21"/>
    <w:qFormat/>
    <w:uiPriority w:val="0"/>
  </w:style>
  <w:style w:type="character" w:customStyle="1" w:styleId="93">
    <w:name w:val="icon018"/>
    <w:basedOn w:val="21"/>
    <w:qFormat/>
    <w:uiPriority w:val="0"/>
  </w:style>
  <w:style w:type="character" w:customStyle="1" w:styleId="94">
    <w:name w:val="icon027"/>
    <w:basedOn w:val="21"/>
    <w:qFormat/>
    <w:uiPriority w:val="0"/>
  </w:style>
  <w:style w:type="character" w:customStyle="1" w:styleId="95">
    <w:name w:val="icon019"/>
    <w:basedOn w:val="21"/>
    <w:qFormat/>
    <w:uiPriority w:val="0"/>
  </w:style>
  <w:style w:type="character" w:customStyle="1" w:styleId="96">
    <w:name w:val="font11"/>
    <w:basedOn w:val="21"/>
    <w:qFormat/>
    <w:uiPriority w:val="0"/>
    <w:rPr>
      <w:rFonts w:hint="default" w:ascii="Times New Roman" w:hAnsi="Times New Roman" w:cs="Times New Roman"/>
      <w:color w:val="000000"/>
      <w:sz w:val="24"/>
      <w:szCs w:val="24"/>
      <w:u w:val="none"/>
    </w:rPr>
  </w:style>
  <w:style w:type="character" w:customStyle="1" w:styleId="97">
    <w:name w:val="批注框文本 字符"/>
    <w:link w:val="12"/>
    <w:uiPriority w:val="99"/>
    <w:rPr>
      <w:kern w:val="2"/>
      <w:sz w:val="18"/>
      <w:szCs w:val="18"/>
    </w:rPr>
  </w:style>
  <w:style w:type="character" w:customStyle="1" w:styleId="98">
    <w:name w:val="页眉 字符1"/>
    <w:basedOn w:val="21"/>
    <w:link w:val="14"/>
    <w:uiPriority w:val="99"/>
    <w:rPr>
      <w:rFonts w:asciiTheme="minorHAnsi" w:hAnsiTheme="minorHAnsi" w:eastAsiaTheme="minorEastAsia" w:cstheme="minorBidi"/>
      <w:kern w:val="2"/>
      <w:sz w:val="18"/>
      <w:szCs w:val="18"/>
    </w:rPr>
  </w:style>
  <w:style w:type="character" w:customStyle="1" w:styleId="99">
    <w:name w:val="页脚 字符1"/>
    <w:basedOn w:val="21"/>
    <w:link w:val="13"/>
    <w:uiPriority w:val="99"/>
    <w:rPr>
      <w:rFonts w:asciiTheme="minorHAnsi" w:hAnsiTheme="minorHAnsi" w:eastAsiaTheme="minorEastAsia" w:cstheme="minorBidi"/>
      <w:kern w:val="2"/>
      <w:sz w:val="18"/>
      <w:szCs w:val="24"/>
    </w:rPr>
  </w:style>
  <w:style w:type="character" w:customStyle="1" w:styleId="100">
    <w:name w:val="页脚 字符"/>
    <w:qFormat/>
    <w:uiPriority w:val="99"/>
    <w:rPr>
      <w:sz w:val="18"/>
      <w:szCs w:val="18"/>
    </w:rPr>
  </w:style>
  <w:style w:type="character" w:customStyle="1" w:styleId="101">
    <w:name w:val="页眉 字符"/>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2396</Words>
  <Characters>2804</Characters>
  <Lines>26</Lines>
  <Paragraphs>7</Paragraphs>
  <TotalTime>22</TotalTime>
  <ScaleCrop>false</ScaleCrop>
  <LinksUpToDate>false</LinksUpToDate>
  <CharactersWithSpaces>2878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2018-06-15T08:44:00Z</dcterms:created>
  <dc:creator>Administrator</dc:creator>
  <cp:lastModifiedBy>一骑绝尘</cp:lastModifiedBy>
  <cp:lastPrinted>2021-04-27T03:22:00Z</cp:lastPrinted>
  <dcterms:modified xsi:type="dcterms:W3CDTF">2022-06-22T01:32:18Z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6E73B9410721463EBF3D38F160467691</vt:lpwstr>
  </property>
</Properties>
</file>