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eastAsia="仿宋"/>
          <w:b/>
          <w:bCs/>
          <w:kern w:val="0"/>
          <w:sz w:val="36"/>
          <w:szCs w:val="36"/>
        </w:rPr>
      </w:pPr>
    </w:p>
    <w:p>
      <w:pPr>
        <w:widowControl/>
        <w:ind w:firstLine="723"/>
        <w:rPr>
          <w:rFonts w:eastAsia="仿宋"/>
          <w:b/>
          <w:bCs/>
          <w:color w:val="000000"/>
          <w:kern w:val="0"/>
          <w:sz w:val="36"/>
          <w:szCs w:val="36"/>
        </w:rPr>
      </w:pPr>
    </w:p>
    <w:p>
      <w:pPr>
        <w:pStyle w:val="2"/>
        <w:ind w:firstLine="480"/>
      </w:pPr>
    </w:p>
    <w:p/>
    <w:p>
      <w:pPr>
        <w:pStyle w:val="2"/>
        <w:ind w:firstLine="480"/>
      </w:pPr>
    </w:p>
    <w:p/>
    <w:p>
      <w:pPr>
        <w:pStyle w:val="2"/>
        <w:ind w:firstLine="480"/>
      </w:pPr>
    </w:p>
    <w:p>
      <w:pPr>
        <w:widowControl/>
        <w:jc w:val="center"/>
        <w:rPr>
          <w:rFonts w:hint="eastAsia" w:eastAsia="黑体"/>
          <w:sz w:val="44"/>
          <w:szCs w:val="44"/>
        </w:rPr>
      </w:pPr>
      <w:r>
        <w:rPr>
          <w:rFonts w:hint="eastAsia" w:eastAsia="黑体"/>
          <w:sz w:val="44"/>
          <w:szCs w:val="44"/>
        </w:rPr>
        <w:t>泰宁县2022年度朱口镇龙湖工业集中区</w:t>
      </w:r>
    </w:p>
    <w:p>
      <w:pPr>
        <w:widowControl/>
        <w:jc w:val="center"/>
        <w:rPr>
          <w:rFonts w:hint="eastAsia" w:eastAsia="黑体"/>
          <w:sz w:val="44"/>
          <w:szCs w:val="44"/>
        </w:rPr>
      </w:pPr>
      <w:r>
        <w:rPr>
          <w:rFonts w:hint="eastAsia" w:eastAsia="黑体"/>
          <w:sz w:val="44"/>
          <w:szCs w:val="44"/>
        </w:rPr>
        <w:t>土地征收成片开发方案</w:t>
      </w:r>
    </w:p>
    <w:p>
      <w:pPr>
        <w:widowControl/>
        <w:jc w:val="center"/>
        <w:rPr>
          <w:rFonts w:eastAsia="黑体"/>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pStyle w:val="2"/>
        <w:ind w:firstLine="480"/>
      </w:pPr>
    </w:p>
    <w:p/>
    <w:p>
      <w:pPr>
        <w:pStyle w:val="2"/>
        <w:ind w:left="0" w:leftChars="0" w:firstLine="0" w:firstLineChars="0"/>
      </w:pPr>
    </w:p>
    <w:p/>
    <w:p>
      <w:pPr>
        <w:pStyle w:val="2"/>
        <w:ind w:firstLine="480"/>
      </w:pPr>
    </w:p>
    <w:p>
      <w:pPr>
        <w:ind w:firstLine="560"/>
      </w:pPr>
    </w:p>
    <w:p>
      <w:pPr>
        <w:widowControl/>
        <w:ind w:firstLine="560"/>
        <w:jc w:val="center"/>
        <w:rPr>
          <w:sz w:val="28"/>
          <w:szCs w:val="28"/>
        </w:rPr>
      </w:pPr>
      <w:r>
        <w:rPr>
          <w:rFonts w:hint="eastAsia"/>
          <w:color w:val="000000"/>
          <w:kern w:val="0"/>
          <w:sz w:val="28"/>
          <w:szCs w:val="28"/>
        </w:rPr>
        <w:t>泰宁县</w:t>
      </w:r>
      <w:r>
        <w:rPr>
          <w:color w:val="000000"/>
          <w:kern w:val="0"/>
          <w:sz w:val="28"/>
          <w:szCs w:val="28"/>
        </w:rPr>
        <w:t>人民政府</w:t>
      </w:r>
    </w:p>
    <w:p>
      <w:pPr>
        <w:widowControl/>
        <w:ind w:firstLine="560"/>
        <w:jc w:val="center"/>
        <w:rPr>
          <w:rFonts w:eastAsia="仿宋"/>
          <w:b/>
          <w:bCs/>
          <w:kern w:val="0"/>
          <w:sz w:val="28"/>
          <w:szCs w:val="28"/>
        </w:rPr>
        <w:sectPr>
          <w:headerReference r:id="rId4" w:type="first"/>
          <w:footerReference r:id="rId7" w:type="first"/>
          <w:footerReference r:id="rId5" w:type="default"/>
          <w:headerReference r:id="rId3" w:type="even"/>
          <w:footerReference r:id="rId6" w:type="even"/>
          <w:pgSz w:w="11906" w:h="16838"/>
          <w:pgMar w:top="0" w:right="1134" w:bottom="1134" w:left="1134" w:header="851" w:footer="992" w:gutter="0"/>
          <w:pgNumType w:fmt="upperRoman" w:start="1"/>
          <w:cols w:space="720" w:num="1"/>
          <w:docGrid w:type="lines" w:linePitch="312" w:charSpace="0"/>
        </w:sectPr>
      </w:pPr>
      <w:r>
        <w:rPr>
          <w:bCs/>
          <w:color w:val="000000"/>
          <w:kern w:val="0"/>
          <w:sz w:val="28"/>
          <w:szCs w:val="28"/>
        </w:rPr>
        <w:t>2022年10月</w:t>
      </w:r>
    </w:p>
    <w:sdt>
      <w:sdtPr>
        <w:rPr>
          <w:rFonts w:ascii="Times New Roman" w:hAnsi="Times New Roman" w:eastAsia="仿宋" w:cs="Times New Roman"/>
          <w:b/>
          <w:bCs/>
          <w:kern w:val="44"/>
          <w:sz w:val="28"/>
          <w:szCs w:val="28"/>
        </w:rPr>
        <w:id w:val="147461879"/>
        <w:docPartObj>
          <w:docPartGallery w:val="Table of Contents"/>
          <w:docPartUnique/>
        </w:docPartObj>
      </w:sdtPr>
      <w:sdtEndPr>
        <w:rPr>
          <w:rFonts w:cs="Times New Roman" w:asciiTheme="minorEastAsia" w:hAnsiTheme="minorEastAsia" w:eastAsiaTheme="minorEastAsia"/>
          <w:b/>
          <w:bCs/>
          <w:kern w:val="44"/>
          <w:sz w:val="28"/>
          <w:szCs w:val="28"/>
        </w:rPr>
      </w:sdtEndPr>
      <w:sdtContent>
        <w:p>
          <w:pPr>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目    录</w:t>
          </w:r>
        </w:p>
        <w:p>
          <w:pPr>
            <w:pStyle w:val="15"/>
            <w:tabs>
              <w:tab w:val="right" w:leader="dot" w:pos="8306"/>
            </w:tabs>
            <w:rPr>
              <w:sz w:val="28"/>
              <w:szCs w:val="28"/>
            </w:rPr>
          </w:pPr>
          <w:r>
            <w:rPr>
              <w:rFonts w:cs="Times New Roman" w:asciiTheme="minorEastAsia" w:hAnsiTheme="minorEastAsia"/>
              <w:bCs/>
              <w:sz w:val="28"/>
              <w:szCs w:val="28"/>
            </w:rPr>
            <w:fldChar w:fldCharType="begin"/>
          </w:r>
          <w:r>
            <w:rPr>
              <w:rFonts w:cs="Times New Roman" w:asciiTheme="minorEastAsia" w:hAnsiTheme="minorEastAsia"/>
              <w:bCs/>
              <w:sz w:val="28"/>
              <w:szCs w:val="28"/>
            </w:rPr>
            <w:instrText xml:space="preserve">TOC \o "1-2" \h \u </w:instrText>
          </w:r>
          <w:r>
            <w:rPr>
              <w:rFonts w:cs="Times New Roman" w:asciiTheme="minorEastAsia" w:hAnsiTheme="minorEastAsia"/>
              <w:bCs/>
              <w:sz w:val="28"/>
              <w:szCs w:val="28"/>
            </w:rPr>
            <w:fldChar w:fldCharType="separate"/>
          </w:r>
          <w:r>
            <w:fldChar w:fldCharType="begin"/>
          </w:r>
          <w:r>
            <w:instrText xml:space="preserve"> HYPERLINK \l "_Toc32536" </w:instrText>
          </w:r>
          <w:r>
            <w:fldChar w:fldCharType="separate"/>
          </w:r>
          <w:r>
            <w:rPr>
              <w:rFonts w:ascii="Times New Roman" w:hAnsi="Times New Roman" w:eastAsia="黑体" w:cs="Times New Roman"/>
              <w:bCs/>
              <w:sz w:val="28"/>
              <w:szCs w:val="28"/>
            </w:rPr>
            <w:t>一、概述</w:t>
          </w:r>
          <w:r>
            <w:rPr>
              <w:sz w:val="28"/>
              <w:szCs w:val="28"/>
            </w:rPr>
            <w:tab/>
          </w:r>
          <w:r>
            <w:rPr>
              <w:sz w:val="28"/>
              <w:szCs w:val="28"/>
            </w:rPr>
            <w:fldChar w:fldCharType="begin"/>
          </w:r>
          <w:r>
            <w:rPr>
              <w:sz w:val="28"/>
              <w:szCs w:val="28"/>
            </w:rPr>
            <w:instrText xml:space="preserve"> PAGEREF _Toc32536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6"/>
            <w:tabs>
              <w:tab w:val="right" w:leader="dot" w:pos="8306"/>
            </w:tabs>
            <w:rPr>
              <w:sz w:val="28"/>
              <w:szCs w:val="28"/>
            </w:rPr>
          </w:pPr>
          <w:r>
            <w:fldChar w:fldCharType="begin"/>
          </w:r>
          <w:r>
            <w:instrText xml:space="preserve"> HYPERLINK \l "_Toc2058" </w:instrText>
          </w:r>
          <w:r>
            <w:fldChar w:fldCharType="separate"/>
          </w:r>
          <w:r>
            <w:rPr>
              <w:rFonts w:ascii="Times New Roman" w:hAnsi="Times New Roman" w:cs="Times New Roman"/>
              <w:bCs/>
              <w:sz w:val="28"/>
              <w:szCs w:val="28"/>
            </w:rPr>
            <w:t>（一）编制背景</w:t>
          </w:r>
          <w:r>
            <w:rPr>
              <w:sz w:val="28"/>
              <w:szCs w:val="28"/>
            </w:rPr>
            <w:tab/>
          </w:r>
          <w:r>
            <w:rPr>
              <w:sz w:val="28"/>
              <w:szCs w:val="28"/>
            </w:rPr>
            <w:fldChar w:fldCharType="begin"/>
          </w:r>
          <w:r>
            <w:rPr>
              <w:sz w:val="28"/>
              <w:szCs w:val="28"/>
            </w:rPr>
            <w:instrText xml:space="preserve"> PAGEREF _Toc2058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6"/>
            <w:tabs>
              <w:tab w:val="right" w:leader="dot" w:pos="8306"/>
            </w:tabs>
            <w:rPr>
              <w:sz w:val="28"/>
              <w:szCs w:val="28"/>
            </w:rPr>
          </w:pPr>
          <w:r>
            <w:fldChar w:fldCharType="begin"/>
          </w:r>
          <w:r>
            <w:instrText xml:space="preserve"> HYPERLINK \l "_Toc16663" </w:instrText>
          </w:r>
          <w:r>
            <w:fldChar w:fldCharType="separate"/>
          </w:r>
          <w:r>
            <w:rPr>
              <w:rFonts w:ascii="Times New Roman" w:hAnsi="Times New Roman" w:cs="Times New Roman"/>
              <w:bCs/>
              <w:sz w:val="28"/>
              <w:szCs w:val="28"/>
            </w:rPr>
            <w:t>（</w:t>
          </w:r>
          <w:r>
            <w:rPr>
              <w:rFonts w:hint="eastAsia" w:ascii="Times New Roman" w:hAnsi="Times New Roman" w:cs="Times New Roman"/>
              <w:bCs/>
              <w:sz w:val="28"/>
              <w:szCs w:val="28"/>
            </w:rPr>
            <w:t>二</w:t>
          </w:r>
          <w:r>
            <w:rPr>
              <w:rFonts w:ascii="Times New Roman" w:hAnsi="Times New Roman" w:cs="Times New Roman"/>
              <w:bCs/>
              <w:sz w:val="28"/>
              <w:szCs w:val="28"/>
            </w:rPr>
            <w:t>）编制依据</w:t>
          </w:r>
          <w:r>
            <w:rPr>
              <w:sz w:val="28"/>
              <w:szCs w:val="28"/>
            </w:rPr>
            <w:tab/>
          </w:r>
          <w:r>
            <w:rPr>
              <w:sz w:val="28"/>
              <w:szCs w:val="28"/>
            </w:rPr>
            <w:fldChar w:fldCharType="begin"/>
          </w:r>
          <w:r>
            <w:rPr>
              <w:sz w:val="28"/>
              <w:szCs w:val="28"/>
            </w:rPr>
            <w:instrText xml:space="preserve"> PAGEREF _Toc16663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5"/>
            <w:tabs>
              <w:tab w:val="right" w:leader="dot" w:pos="8306"/>
            </w:tabs>
            <w:rPr>
              <w:sz w:val="28"/>
              <w:szCs w:val="28"/>
            </w:rPr>
          </w:pPr>
          <w:r>
            <w:fldChar w:fldCharType="begin"/>
          </w:r>
          <w:r>
            <w:instrText xml:space="preserve"> HYPERLINK \l "_Toc23537" </w:instrText>
          </w:r>
          <w:r>
            <w:fldChar w:fldCharType="separate"/>
          </w:r>
          <w:r>
            <w:rPr>
              <w:rFonts w:ascii="Times New Roman" w:hAnsi="Times New Roman" w:eastAsia="黑体" w:cs="Times New Roman"/>
              <w:bCs/>
              <w:kern w:val="44"/>
              <w:sz w:val="28"/>
              <w:szCs w:val="28"/>
            </w:rPr>
            <w:t>二、编制条件</w:t>
          </w:r>
          <w:r>
            <w:rPr>
              <w:sz w:val="28"/>
              <w:szCs w:val="28"/>
            </w:rPr>
            <w:tab/>
          </w:r>
          <w:r>
            <w:rPr>
              <w:sz w:val="28"/>
              <w:szCs w:val="28"/>
            </w:rPr>
            <w:fldChar w:fldCharType="begin"/>
          </w:r>
          <w:r>
            <w:rPr>
              <w:sz w:val="28"/>
              <w:szCs w:val="28"/>
            </w:rPr>
            <w:instrText xml:space="preserve"> PAGEREF _Toc23537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5"/>
            <w:tabs>
              <w:tab w:val="right" w:leader="dot" w:pos="8306"/>
            </w:tabs>
            <w:rPr>
              <w:sz w:val="28"/>
              <w:szCs w:val="28"/>
            </w:rPr>
          </w:pPr>
          <w:r>
            <w:fldChar w:fldCharType="begin"/>
          </w:r>
          <w:r>
            <w:instrText xml:space="preserve"> HYPERLINK \l "_Toc13389" </w:instrText>
          </w:r>
          <w:r>
            <w:fldChar w:fldCharType="separate"/>
          </w:r>
          <w:r>
            <w:rPr>
              <w:rFonts w:ascii="Times New Roman" w:hAnsi="Times New Roman" w:eastAsia="黑体" w:cs="Times New Roman"/>
              <w:bCs/>
              <w:sz w:val="28"/>
              <w:szCs w:val="28"/>
            </w:rPr>
            <w:t>三、基本情况</w:t>
          </w:r>
          <w:r>
            <w:rPr>
              <w:sz w:val="28"/>
              <w:szCs w:val="28"/>
            </w:rPr>
            <w:tab/>
          </w:r>
          <w:r>
            <w:rPr>
              <w:sz w:val="28"/>
              <w:szCs w:val="28"/>
            </w:rPr>
            <w:fldChar w:fldCharType="begin"/>
          </w:r>
          <w:r>
            <w:rPr>
              <w:sz w:val="28"/>
              <w:szCs w:val="28"/>
            </w:rPr>
            <w:instrText xml:space="preserve"> PAGEREF _Toc13389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306"/>
            </w:tabs>
            <w:rPr>
              <w:sz w:val="28"/>
              <w:szCs w:val="28"/>
            </w:rPr>
          </w:pPr>
          <w:r>
            <w:fldChar w:fldCharType="begin"/>
          </w:r>
          <w:r>
            <w:instrText xml:space="preserve"> HYPERLINK \l "_Toc32685" </w:instrText>
          </w:r>
          <w:r>
            <w:fldChar w:fldCharType="separate"/>
          </w:r>
          <w:r>
            <w:rPr>
              <w:rFonts w:ascii="Times New Roman" w:hAnsi="Times New Roman" w:cs="Times New Roman"/>
              <w:bCs/>
              <w:sz w:val="28"/>
              <w:szCs w:val="28"/>
            </w:rPr>
            <w:t>（一）区域位置</w:t>
          </w:r>
          <w:r>
            <w:rPr>
              <w:sz w:val="28"/>
              <w:szCs w:val="28"/>
            </w:rPr>
            <w:tab/>
          </w:r>
          <w:r>
            <w:rPr>
              <w:sz w:val="28"/>
              <w:szCs w:val="28"/>
            </w:rPr>
            <w:fldChar w:fldCharType="begin"/>
          </w:r>
          <w:r>
            <w:rPr>
              <w:sz w:val="28"/>
              <w:szCs w:val="28"/>
            </w:rPr>
            <w:instrText xml:space="preserve"> PAGEREF _Toc32685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306"/>
            </w:tabs>
            <w:rPr>
              <w:sz w:val="28"/>
              <w:szCs w:val="28"/>
            </w:rPr>
          </w:pPr>
          <w:r>
            <w:fldChar w:fldCharType="begin"/>
          </w:r>
          <w:r>
            <w:instrText xml:space="preserve"> HYPERLINK \l "_Toc29352" </w:instrText>
          </w:r>
          <w:r>
            <w:fldChar w:fldCharType="separate"/>
          </w:r>
          <w:r>
            <w:rPr>
              <w:rFonts w:ascii="Times New Roman" w:hAnsi="Times New Roman" w:cs="Times New Roman"/>
              <w:bCs/>
              <w:sz w:val="28"/>
              <w:szCs w:val="28"/>
            </w:rPr>
            <w:t>（二）方案范围</w:t>
          </w:r>
          <w:r>
            <w:rPr>
              <w:sz w:val="28"/>
              <w:szCs w:val="28"/>
            </w:rPr>
            <w:tab/>
          </w:r>
          <w:r>
            <w:rPr>
              <w:sz w:val="28"/>
              <w:szCs w:val="28"/>
            </w:rPr>
            <w:fldChar w:fldCharType="begin"/>
          </w:r>
          <w:r>
            <w:rPr>
              <w:sz w:val="28"/>
              <w:szCs w:val="28"/>
            </w:rPr>
            <w:instrText xml:space="preserve"> PAGEREF _Toc29352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306"/>
            </w:tabs>
            <w:rPr>
              <w:sz w:val="28"/>
              <w:szCs w:val="28"/>
            </w:rPr>
          </w:pPr>
          <w:r>
            <w:fldChar w:fldCharType="begin"/>
          </w:r>
          <w:r>
            <w:instrText xml:space="preserve"> HYPERLINK \l "_Toc25367" </w:instrText>
          </w:r>
          <w:r>
            <w:fldChar w:fldCharType="separate"/>
          </w:r>
          <w:r>
            <w:rPr>
              <w:rFonts w:ascii="Times New Roman" w:hAnsi="Times New Roman" w:cs="Times New Roman"/>
              <w:bCs/>
              <w:sz w:val="28"/>
              <w:szCs w:val="28"/>
            </w:rPr>
            <w:t>（三）用地条件</w:t>
          </w:r>
          <w:r>
            <w:rPr>
              <w:sz w:val="28"/>
              <w:szCs w:val="28"/>
            </w:rPr>
            <w:tab/>
          </w:r>
          <w:r>
            <w:rPr>
              <w:sz w:val="28"/>
              <w:szCs w:val="28"/>
            </w:rPr>
            <w:fldChar w:fldCharType="begin"/>
          </w:r>
          <w:r>
            <w:rPr>
              <w:sz w:val="28"/>
              <w:szCs w:val="28"/>
            </w:rPr>
            <w:instrText xml:space="preserve"> PAGEREF _Toc25367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306"/>
            </w:tabs>
            <w:rPr>
              <w:sz w:val="28"/>
              <w:szCs w:val="28"/>
            </w:rPr>
          </w:pPr>
          <w:r>
            <w:fldChar w:fldCharType="begin"/>
          </w:r>
          <w:r>
            <w:instrText xml:space="preserve"> HYPERLINK \l "_Toc7062" </w:instrText>
          </w:r>
          <w:r>
            <w:fldChar w:fldCharType="separate"/>
          </w:r>
          <w:r>
            <w:rPr>
              <w:rFonts w:ascii="Times New Roman" w:hAnsi="Times New Roman" w:cs="Times New Roman"/>
              <w:bCs/>
              <w:sz w:val="28"/>
              <w:szCs w:val="28"/>
            </w:rPr>
            <w:t>（</w:t>
          </w:r>
          <w:r>
            <w:rPr>
              <w:rFonts w:hint="eastAsia" w:ascii="Times New Roman" w:hAnsi="Times New Roman" w:cs="Times New Roman"/>
              <w:bCs/>
              <w:sz w:val="28"/>
              <w:szCs w:val="28"/>
            </w:rPr>
            <w:t>四</w:t>
          </w:r>
          <w:r>
            <w:rPr>
              <w:rFonts w:ascii="Times New Roman" w:hAnsi="Times New Roman" w:cs="Times New Roman"/>
              <w:bCs/>
              <w:sz w:val="28"/>
              <w:szCs w:val="28"/>
            </w:rPr>
            <w:t>）实施周期</w:t>
          </w:r>
          <w:r>
            <w:rPr>
              <w:sz w:val="28"/>
              <w:szCs w:val="28"/>
            </w:rPr>
            <w:tab/>
          </w:r>
          <w:r>
            <w:rPr>
              <w:sz w:val="28"/>
              <w:szCs w:val="28"/>
            </w:rPr>
            <w:fldChar w:fldCharType="begin"/>
          </w:r>
          <w:r>
            <w:rPr>
              <w:sz w:val="28"/>
              <w:szCs w:val="28"/>
            </w:rPr>
            <w:instrText xml:space="preserve"> PAGEREF _Toc7062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8306"/>
            </w:tabs>
            <w:rPr>
              <w:sz w:val="28"/>
              <w:szCs w:val="28"/>
            </w:rPr>
          </w:pPr>
          <w:r>
            <w:fldChar w:fldCharType="begin"/>
          </w:r>
          <w:r>
            <w:instrText xml:space="preserve"> HYPERLINK \l "_Toc25312" </w:instrText>
          </w:r>
          <w:r>
            <w:fldChar w:fldCharType="separate"/>
          </w:r>
          <w:r>
            <w:rPr>
              <w:rFonts w:hint="eastAsia" w:ascii="Times New Roman" w:hAnsi="Times New Roman" w:eastAsia="黑体" w:cs="Times New Roman"/>
              <w:bCs/>
              <w:sz w:val="28"/>
              <w:szCs w:val="28"/>
            </w:rPr>
            <w:t>四</w:t>
          </w:r>
          <w:r>
            <w:rPr>
              <w:rFonts w:ascii="Times New Roman" w:hAnsi="Times New Roman" w:eastAsia="黑体" w:cs="Times New Roman"/>
              <w:bCs/>
              <w:sz w:val="28"/>
              <w:szCs w:val="28"/>
            </w:rPr>
            <w:t>、</w:t>
          </w:r>
          <w:r>
            <w:rPr>
              <w:rFonts w:hint="eastAsia" w:ascii="Times New Roman" w:hAnsi="Times New Roman" w:eastAsia="黑体" w:cs="Times New Roman"/>
              <w:bCs/>
              <w:sz w:val="28"/>
              <w:szCs w:val="28"/>
            </w:rPr>
            <w:t>主要用途、实现功能及公益性用地比例</w:t>
          </w:r>
          <w:r>
            <w:rPr>
              <w:sz w:val="28"/>
              <w:szCs w:val="28"/>
            </w:rPr>
            <w:tab/>
          </w:r>
          <w:r>
            <w:rPr>
              <w:sz w:val="28"/>
              <w:szCs w:val="28"/>
            </w:rPr>
            <w:fldChar w:fldCharType="begin"/>
          </w:r>
          <w:r>
            <w:rPr>
              <w:sz w:val="28"/>
              <w:szCs w:val="28"/>
            </w:rPr>
            <w:instrText xml:space="preserve"> PAGEREF _Toc25312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8306"/>
            </w:tabs>
            <w:rPr>
              <w:sz w:val="28"/>
              <w:szCs w:val="28"/>
            </w:rPr>
          </w:pPr>
          <w:r>
            <w:fldChar w:fldCharType="begin"/>
          </w:r>
          <w:r>
            <w:instrText xml:space="preserve"> HYPERLINK \l "_Toc20511" </w:instrText>
          </w:r>
          <w:r>
            <w:fldChar w:fldCharType="separate"/>
          </w:r>
          <w:r>
            <w:rPr>
              <w:rFonts w:hint="eastAsia" w:ascii="Times New Roman" w:hAnsi="Times New Roman" w:eastAsia="黑体" w:cs="Times New Roman"/>
              <w:bCs/>
              <w:sz w:val="28"/>
              <w:szCs w:val="28"/>
            </w:rPr>
            <w:t>五</w:t>
          </w:r>
          <w:r>
            <w:rPr>
              <w:rFonts w:ascii="Times New Roman" w:hAnsi="Times New Roman" w:eastAsia="黑体" w:cs="Times New Roman"/>
              <w:bCs/>
              <w:sz w:val="28"/>
              <w:szCs w:val="28"/>
            </w:rPr>
            <w:t>、合法合规性分析</w:t>
          </w:r>
          <w:r>
            <w:rPr>
              <w:sz w:val="28"/>
              <w:szCs w:val="28"/>
            </w:rPr>
            <w:tab/>
          </w:r>
          <w:r>
            <w:rPr>
              <w:sz w:val="28"/>
              <w:szCs w:val="28"/>
            </w:rPr>
            <w:fldChar w:fldCharType="begin"/>
          </w:r>
          <w:r>
            <w:rPr>
              <w:sz w:val="28"/>
              <w:szCs w:val="28"/>
            </w:rPr>
            <w:instrText xml:space="preserve"> PAGEREF _Toc20511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8306"/>
            </w:tabs>
            <w:rPr>
              <w:sz w:val="28"/>
              <w:szCs w:val="28"/>
            </w:rPr>
          </w:pPr>
          <w:r>
            <w:fldChar w:fldCharType="begin"/>
          </w:r>
          <w:r>
            <w:instrText xml:space="preserve"> HYPERLINK \l "_Toc16063" </w:instrText>
          </w:r>
          <w:r>
            <w:fldChar w:fldCharType="separate"/>
          </w:r>
          <w:r>
            <w:rPr>
              <w:rFonts w:hint="eastAsia" w:ascii="Times New Roman" w:hAnsi="Times New Roman" w:eastAsia="黑体" w:cs="Times New Roman"/>
              <w:bCs/>
              <w:sz w:val="28"/>
              <w:szCs w:val="28"/>
            </w:rPr>
            <w:t>六</w:t>
          </w:r>
          <w:r>
            <w:rPr>
              <w:rFonts w:ascii="Times New Roman" w:hAnsi="Times New Roman" w:eastAsia="黑体" w:cs="Times New Roman"/>
              <w:bCs/>
              <w:sz w:val="28"/>
              <w:szCs w:val="28"/>
            </w:rPr>
            <w:t>、结论</w:t>
          </w:r>
          <w:r>
            <w:rPr>
              <w:sz w:val="28"/>
              <w:szCs w:val="28"/>
            </w:rPr>
            <w:tab/>
          </w:r>
          <w:r>
            <w:rPr>
              <w:sz w:val="28"/>
              <w:szCs w:val="28"/>
            </w:rPr>
            <w:fldChar w:fldCharType="begin"/>
          </w:r>
          <w:r>
            <w:rPr>
              <w:sz w:val="28"/>
              <w:szCs w:val="28"/>
            </w:rPr>
            <w:instrText xml:space="preserve"> PAGEREF _Toc16063 \h </w:instrText>
          </w:r>
          <w:r>
            <w:rPr>
              <w:sz w:val="28"/>
              <w:szCs w:val="28"/>
            </w:rPr>
            <w:fldChar w:fldCharType="separate"/>
          </w:r>
          <w:r>
            <w:rPr>
              <w:sz w:val="28"/>
              <w:szCs w:val="28"/>
            </w:rPr>
            <w:t>3</w:t>
          </w:r>
          <w:r>
            <w:rPr>
              <w:sz w:val="28"/>
              <w:szCs w:val="28"/>
            </w:rPr>
            <w:fldChar w:fldCharType="end"/>
          </w:r>
          <w:r>
            <w:rPr>
              <w:sz w:val="28"/>
              <w:szCs w:val="28"/>
            </w:rPr>
            <w:fldChar w:fldCharType="end"/>
          </w:r>
        </w:p>
        <w:p>
          <w:pPr>
            <w:rPr>
              <w:rFonts w:cs="Times New Roman" w:asciiTheme="minorEastAsia" w:hAnsiTheme="minorEastAsia"/>
              <w:b/>
              <w:bCs/>
              <w:kern w:val="44"/>
              <w:sz w:val="28"/>
              <w:szCs w:val="28"/>
            </w:rPr>
          </w:pPr>
          <w:r>
            <w:rPr>
              <w:rFonts w:cs="Times New Roman" w:asciiTheme="minorEastAsia" w:hAnsiTheme="minorEastAsia"/>
              <w:bCs/>
              <w:sz w:val="28"/>
              <w:szCs w:val="28"/>
            </w:rPr>
            <w:fldChar w:fldCharType="end"/>
          </w:r>
        </w:p>
      </w:sdtContent>
    </w:sdt>
    <w:p>
      <w:pPr>
        <w:rPr>
          <w:rFonts w:ascii="Times New Roman" w:hAnsi="Times New Roman" w:eastAsia="黑体" w:cs="Times New Roman"/>
          <w:b/>
          <w:bCs/>
          <w:kern w:val="44"/>
          <w:sz w:val="28"/>
          <w:szCs w:val="28"/>
        </w:rPr>
        <w:sectPr>
          <w:footerReference r:id="rId8" w:type="default"/>
          <w:pgSz w:w="11906" w:h="16838"/>
          <w:pgMar w:top="1440" w:right="1800" w:bottom="1440" w:left="1800" w:header="851" w:footer="992" w:gutter="0"/>
          <w:pgNumType w:start="1"/>
          <w:cols w:space="425" w:num="1"/>
          <w:docGrid w:type="lines" w:linePitch="312" w:charSpace="0"/>
        </w:sectPr>
      </w:pPr>
    </w:p>
    <w:p>
      <w:pPr>
        <w:pStyle w:val="4"/>
        <w:spacing w:before="120" w:after="120" w:line="360" w:lineRule="auto"/>
        <w:rPr>
          <w:rFonts w:ascii="Times New Roman" w:hAnsi="Times New Roman" w:eastAsia="黑体" w:cs="Times New Roman"/>
          <w:b w:val="0"/>
          <w:bCs/>
          <w:sz w:val="32"/>
          <w:szCs w:val="32"/>
        </w:rPr>
      </w:pPr>
      <w:bookmarkStart w:id="0" w:name="_Toc32536"/>
      <w:r>
        <w:rPr>
          <w:rFonts w:ascii="Times New Roman" w:hAnsi="Times New Roman" w:eastAsia="黑体" w:cs="Times New Roman"/>
          <w:b w:val="0"/>
          <w:bCs/>
          <w:sz w:val="32"/>
          <w:szCs w:val="32"/>
        </w:rPr>
        <w:t>一、概述</w:t>
      </w:r>
      <w:bookmarkEnd w:id="0"/>
    </w:p>
    <w:p>
      <w:pPr>
        <w:pStyle w:val="5"/>
        <w:spacing w:before="0" w:after="0" w:line="240" w:lineRule="auto"/>
        <w:ind w:firstLine="600" w:firstLineChars="200"/>
        <w:rPr>
          <w:rFonts w:ascii="Times New Roman" w:hAnsi="Times New Roman" w:cs="Times New Roman"/>
          <w:b w:val="0"/>
          <w:bCs/>
          <w:sz w:val="30"/>
          <w:szCs w:val="30"/>
        </w:rPr>
      </w:pPr>
      <w:bookmarkStart w:id="1" w:name="_Toc2058"/>
      <w:r>
        <w:rPr>
          <w:rFonts w:ascii="Times New Roman" w:hAnsi="Times New Roman" w:cs="Times New Roman"/>
          <w:b w:val="0"/>
          <w:bCs/>
          <w:sz w:val="30"/>
          <w:szCs w:val="30"/>
        </w:rPr>
        <w:t>（一）编制背景</w:t>
      </w:r>
      <w:bookmarkEnd w:id="1"/>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本次成片开发项目位于福建省</w:t>
      </w:r>
      <w:r>
        <w:rPr>
          <w:rFonts w:hint="eastAsia" w:ascii="Times New Roman" w:hAnsi="Times New Roman" w:eastAsia="仿宋" w:cs="Times New Roman"/>
          <w:sz w:val="28"/>
          <w:szCs w:val="28"/>
        </w:rPr>
        <w:t>三明市泰宁县朱口镇</w:t>
      </w:r>
      <w:r>
        <w:rPr>
          <w:rFonts w:ascii="Times New Roman" w:hAnsi="Times New Roman" w:eastAsia="仿宋" w:cs="Times New Roman"/>
          <w:sz w:val="28"/>
          <w:szCs w:val="28"/>
        </w:rPr>
        <w:t>，</w:t>
      </w:r>
      <w:r>
        <w:rPr>
          <w:rFonts w:hint="eastAsia" w:ascii="Times New Roman" w:hAnsi="Times New Roman" w:eastAsia="仿宋" w:cs="Times New Roman"/>
          <w:sz w:val="28"/>
          <w:szCs w:val="28"/>
        </w:rPr>
        <w:t>成片开发总</w:t>
      </w:r>
      <w:r>
        <w:rPr>
          <w:rFonts w:ascii="Times New Roman" w:hAnsi="Times New Roman" w:eastAsia="仿宋" w:cs="Times New Roman"/>
          <w:sz w:val="28"/>
          <w:szCs w:val="28"/>
        </w:rPr>
        <w:t>面积</w:t>
      </w:r>
      <w:r>
        <w:rPr>
          <w:rFonts w:hint="eastAsia" w:ascii="Times New Roman" w:hAnsi="Times New Roman" w:eastAsia="仿宋" w:cs="Times New Roman"/>
          <w:sz w:val="28"/>
          <w:szCs w:val="28"/>
        </w:rPr>
        <w:t>37.92</w:t>
      </w:r>
      <w:r>
        <w:rPr>
          <w:rFonts w:hint="eastAsia" w:ascii="Times New Roman" w:hAnsi="Times New Roman" w:eastAsia="仿宋" w:cs="Times New Roman"/>
          <w:sz w:val="28"/>
          <w:szCs w:val="28"/>
          <w:lang w:val="en-US" w:eastAsia="zh-CN"/>
        </w:rPr>
        <w:t>0</w:t>
      </w:r>
      <w:r>
        <w:rPr>
          <w:rFonts w:hint="eastAsia" w:ascii="Times New Roman" w:hAnsi="Times New Roman" w:eastAsia="仿宋" w:cs="Times New Roman"/>
          <w:sz w:val="28"/>
          <w:szCs w:val="28"/>
        </w:rPr>
        <w:t>0公顷</w:t>
      </w:r>
      <w:r>
        <w:rPr>
          <w:rFonts w:ascii="Times New Roman" w:hAnsi="Times New Roman" w:eastAsia="仿宋" w:cs="Times New Roman"/>
          <w:sz w:val="28"/>
          <w:szCs w:val="28"/>
        </w:rPr>
        <w:t>。衔接国民经济和社会发展规划、</w:t>
      </w:r>
      <w:r>
        <w:rPr>
          <w:rFonts w:hint="eastAsia" w:ascii="Times New Roman" w:hAnsi="Times New Roman" w:eastAsia="仿宋" w:cs="Times New Roman"/>
          <w:sz w:val="28"/>
          <w:szCs w:val="28"/>
        </w:rPr>
        <w:t>国民经济和社会发展年度计划</w:t>
      </w:r>
      <w:r>
        <w:rPr>
          <w:rFonts w:ascii="Times New Roman" w:hAnsi="Times New Roman" w:eastAsia="仿宋" w:cs="Times New Roman"/>
          <w:sz w:val="28"/>
          <w:szCs w:val="28"/>
        </w:rPr>
        <w:t>、土地利用</w:t>
      </w:r>
      <w:r>
        <w:rPr>
          <w:rFonts w:hint="eastAsia" w:ascii="Times New Roman" w:hAnsi="Times New Roman" w:eastAsia="仿宋" w:cs="Times New Roman"/>
          <w:sz w:val="28"/>
          <w:szCs w:val="28"/>
        </w:rPr>
        <w:t>总体</w:t>
      </w:r>
      <w:r>
        <w:rPr>
          <w:rFonts w:ascii="Times New Roman" w:hAnsi="Times New Roman" w:eastAsia="仿宋" w:cs="Times New Roman"/>
          <w:sz w:val="28"/>
          <w:szCs w:val="28"/>
        </w:rPr>
        <w:t>规划、城市总体规划、控制性详细规划，编制</w:t>
      </w:r>
      <w:r>
        <w:rPr>
          <w:rFonts w:hint="eastAsia" w:ascii="Times New Roman" w:hAnsi="Times New Roman" w:eastAsia="仿宋" w:cs="Times New Roman"/>
          <w:sz w:val="28"/>
          <w:szCs w:val="28"/>
        </w:rPr>
        <w:t>《泰宁县2022年度朱口镇龙湖工业集中区土地征收成片开发方案</w:t>
      </w:r>
      <w:r>
        <w:rPr>
          <w:rFonts w:ascii="Times New Roman" w:hAnsi="Times New Roman" w:eastAsia="仿宋" w:cs="Times New Roman"/>
          <w:sz w:val="28"/>
          <w:szCs w:val="28"/>
        </w:rPr>
        <w:t>》。</w:t>
      </w:r>
    </w:p>
    <w:p>
      <w:pPr>
        <w:pStyle w:val="5"/>
        <w:spacing w:before="0" w:after="0" w:line="240" w:lineRule="auto"/>
        <w:ind w:firstLine="600" w:firstLineChars="200"/>
        <w:rPr>
          <w:rFonts w:ascii="Times New Roman" w:hAnsi="Times New Roman" w:cs="Times New Roman"/>
          <w:b w:val="0"/>
          <w:bCs/>
          <w:sz w:val="30"/>
          <w:szCs w:val="30"/>
        </w:rPr>
      </w:pPr>
      <w:bookmarkStart w:id="2" w:name="_Toc16663"/>
      <w:r>
        <w:rPr>
          <w:rFonts w:ascii="Times New Roman" w:hAnsi="Times New Roman" w:cs="Times New Roman"/>
          <w:b w:val="0"/>
          <w:bCs/>
          <w:sz w:val="30"/>
          <w:szCs w:val="30"/>
        </w:rPr>
        <w:t>（</w:t>
      </w:r>
      <w:r>
        <w:rPr>
          <w:rFonts w:hint="eastAsia" w:ascii="Times New Roman" w:hAnsi="Times New Roman" w:cs="Times New Roman"/>
          <w:b w:val="0"/>
          <w:bCs/>
          <w:sz w:val="30"/>
          <w:szCs w:val="30"/>
        </w:rPr>
        <w:t>二</w:t>
      </w:r>
      <w:r>
        <w:rPr>
          <w:rFonts w:ascii="Times New Roman" w:hAnsi="Times New Roman" w:cs="Times New Roman"/>
          <w:b w:val="0"/>
          <w:bCs/>
          <w:sz w:val="30"/>
          <w:szCs w:val="30"/>
        </w:rPr>
        <w:t>）编制依据</w:t>
      </w:r>
      <w:bookmarkEnd w:id="2"/>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1、《中华人民共和国土地管理法》（2019年修正版）；</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2、《自然资源部关于印发〈土地征收成片开发标准（试行）〉的通知》（自然资规〔2020〕5号）；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3、《中共中央办公厅 国务院办公厅印发〈关于在国土空间规划中统筹划定落实三条控制线〉的指导意见》（厅字〔2019〕48 号）；</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w:t>
      </w:r>
      <w:r>
        <w:rPr>
          <w:rFonts w:hint="eastAsia" w:ascii="Times New Roman" w:hAnsi="Times New Roman" w:eastAsia="仿宋" w:cs="Times New Roman"/>
          <w:sz w:val="28"/>
          <w:szCs w:val="28"/>
        </w:rPr>
        <w:t>、《中共中央办公厅国务院〈关于建立国土空间规划体系并监督实施的若干意见〉》（中发〔2019〕18 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5</w:t>
      </w:r>
      <w:r>
        <w:rPr>
          <w:rFonts w:ascii="Times New Roman" w:hAnsi="Times New Roman" w:eastAsia="仿宋" w:cs="Times New Roman"/>
          <w:sz w:val="28"/>
          <w:szCs w:val="28"/>
        </w:rPr>
        <w:t>、《福建省自然资源厅关于印发〈福建省土地征收成片开发方案报批实施细则（试行）〉的通知》（闽自然资发〔2021〕3号）；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6</w:t>
      </w:r>
      <w:r>
        <w:rPr>
          <w:rFonts w:ascii="Times New Roman" w:hAnsi="Times New Roman" w:eastAsia="仿宋" w:cs="Times New Roman"/>
          <w:sz w:val="28"/>
          <w:szCs w:val="28"/>
        </w:rPr>
        <w:t>、《福建省自然资源厅关于印发〈福建省土地征收成片开发方案编制参考指南（试行）〉的通知》（闽自然资发〔2021〕6号）；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7</w:t>
      </w:r>
      <w:r>
        <w:rPr>
          <w:rFonts w:ascii="Times New Roman" w:hAnsi="Times New Roman" w:eastAsia="仿宋" w:cs="Times New Roman"/>
          <w:sz w:val="28"/>
          <w:szCs w:val="28"/>
        </w:rPr>
        <w:t>、《自然资源部办公厅关于印发〈国土空间调查、规划、用途管制用地用海分类指南（试行）〉》（自然资办发〔2020〕51号）；</w:t>
      </w:r>
    </w:p>
    <w:p>
      <w:pPr>
        <w:pStyle w:val="2"/>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8</w:t>
      </w:r>
      <w:r>
        <w:rPr>
          <w:rFonts w:ascii="Times New Roman" w:hAnsi="Times New Roman" w:eastAsia="仿宋" w:cs="Times New Roman"/>
          <w:sz w:val="28"/>
          <w:szCs w:val="28"/>
        </w:rPr>
        <w:t>、《</w:t>
      </w:r>
      <w:r>
        <w:rPr>
          <w:rFonts w:hint="eastAsia" w:ascii="Times New Roman" w:hAnsi="Times New Roman" w:eastAsia="仿宋" w:cs="Times New Roman"/>
          <w:sz w:val="28"/>
          <w:szCs w:val="28"/>
        </w:rPr>
        <w:t>泰宁县</w:t>
      </w:r>
      <w:r>
        <w:rPr>
          <w:rFonts w:ascii="Times New Roman" w:hAnsi="Times New Roman" w:eastAsia="仿宋" w:cs="Times New Roman"/>
          <w:sz w:val="28"/>
          <w:szCs w:val="28"/>
        </w:rPr>
        <w:t>国民经济和社会发展第十四个五年规划和二〇三五年远景目标纲要》；</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9、相关编制依据。</w:t>
      </w:r>
    </w:p>
    <w:p>
      <w:pPr>
        <w:keepNext/>
        <w:keepLines/>
        <w:spacing w:before="120" w:after="120" w:line="360" w:lineRule="auto"/>
        <w:outlineLvl w:val="0"/>
        <w:rPr>
          <w:rFonts w:ascii="Times New Roman" w:hAnsi="Times New Roman" w:eastAsia="黑体" w:cs="Times New Roman"/>
          <w:bCs/>
          <w:kern w:val="44"/>
          <w:sz w:val="32"/>
          <w:szCs w:val="32"/>
        </w:rPr>
      </w:pPr>
      <w:bookmarkStart w:id="3" w:name="_Toc23537"/>
      <w:bookmarkStart w:id="4" w:name="_Toc14521"/>
      <w:r>
        <w:rPr>
          <w:rFonts w:ascii="Times New Roman" w:hAnsi="Times New Roman" w:eastAsia="黑体" w:cs="Times New Roman"/>
          <w:bCs/>
          <w:kern w:val="44"/>
          <w:sz w:val="32"/>
          <w:szCs w:val="32"/>
        </w:rPr>
        <w:t>二、编制条件</w:t>
      </w:r>
      <w:bookmarkEnd w:id="3"/>
      <w:bookmarkEnd w:id="4"/>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截至</w:t>
      </w:r>
      <w:r>
        <w:rPr>
          <w:rFonts w:ascii="Times New Roman" w:hAnsi="Times New Roman" w:eastAsia="仿宋" w:cs="Times New Roman"/>
          <w:sz w:val="28"/>
          <w:szCs w:val="28"/>
        </w:rPr>
        <w:t>2022</w:t>
      </w:r>
      <w:r>
        <w:rPr>
          <w:rFonts w:hint="eastAsia"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10</w:t>
      </w:r>
      <w:r>
        <w:rPr>
          <w:rFonts w:hint="eastAsia" w:ascii="Times New Roman" w:hAnsi="Times New Roman" w:eastAsia="仿宋" w:cs="Times New Roman"/>
          <w:sz w:val="28"/>
          <w:szCs w:val="28"/>
        </w:rPr>
        <w:t>月底，泰宁县批而未供土地面积</w:t>
      </w:r>
      <w:r>
        <w:rPr>
          <w:rFonts w:hint="eastAsia" w:ascii="Times New Roman" w:hAnsi="Times New Roman" w:eastAsia="仿宋_GB2312" w:cs="仿宋_GB2312"/>
          <w:color w:val="auto"/>
          <w:sz w:val="32"/>
          <w:szCs w:val="32"/>
          <w:highlight w:val="none"/>
          <w:lang w:val="en-US" w:eastAsia="zh-CN"/>
        </w:rPr>
        <w:t>64.9933</w:t>
      </w:r>
      <w:r>
        <w:rPr>
          <w:rFonts w:hint="eastAsia" w:ascii="Times New Roman" w:hAnsi="Times New Roman" w:eastAsia="仿宋" w:cs="Times New Roman"/>
          <w:sz w:val="28"/>
          <w:szCs w:val="28"/>
        </w:rPr>
        <w:t>公顷</w:t>
      </w:r>
      <w:r>
        <w:rPr>
          <w:rFonts w:ascii="Times New Roman" w:hAnsi="Times New Roman" w:eastAsia="仿宋" w:cs="Times New Roman"/>
          <w:sz w:val="28"/>
          <w:szCs w:val="28"/>
        </w:rPr>
        <w:t>&lt;500</w:t>
      </w:r>
      <w:r>
        <w:rPr>
          <w:rFonts w:hint="eastAsia" w:ascii="Times New Roman" w:hAnsi="Times New Roman" w:eastAsia="仿宋" w:cs="Times New Roman"/>
          <w:sz w:val="28"/>
          <w:szCs w:val="28"/>
        </w:rPr>
        <w:t>公顷。</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年和</w:t>
      </w:r>
      <w:r>
        <w:rPr>
          <w:rFonts w:ascii="Times New Roman" w:hAnsi="Times New Roman" w:eastAsia="仿宋" w:cs="Times New Roman"/>
          <w:sz w:val="28"/>
          <w:szCs w:val="28"/>
        </w:rPr>
        <w:t>2021</w:t>
      </w:r>
      <w:r>
        <w:rPr>
          <w:rFonts w:hint="eastAsia" w:ascii="Times New Roman" w:hAnsi="Times New Roman" w:eastAsia="仿宋" w:cs="Times New Roman"/>
          <w:sz w:val="28"/>
          <w:szCs w:val="28"/>
        </w:rPr>
        <w:t>年，泰宁县批而未供土地处置率分别为23.90%和</w:t>
      </w:r>
      <w:r>
        <w:rPr>
          <w:rFonts w:ascii="Times New Roman" w:hAnsi="Times New Roman" w:eastAsia="仿宋" w:cs="Times New Roman"/>
          <w:sz w:val="28"/>
          <w:szCs w:val="28"/>
        </w:rPr>
        <w:t>21.40</w:t>
      </w:r>
      <w:r>
        <w:rPr>
          <w:rFonts w:hint="eastAsia" w:ascii="Times New Roman" w:hAnsi="Times New Roman" w:eastAsia="仿宋" w:cs="Times New Roman"/>
          <w:sz w:val="28"/>
          <w:szCs w:val="28"/>
        </w:rPr>
        <w:t>%，均</w:t>
      </w:r>
      <w:r>
        <w:rPr>
          <w:rFonts w:ascii="Times New Roman" w:hAnsi="Times New Roman" w:eastAsia="仿宋" w:cs="Times New Roman"/>
          <w:sz w:val="28"/>
          <w:szCs w:val="28"/>
        </w:rPr>
        <w:t>已超过15%</w:t>
      </w:r>
      <w:r>
        <w:rPr>
          <w:rFonts w:hint="eastAsia" w:ascii="Times New Roman" w:hAnsi="Times New Roman" w:eastAsia="仿宋" w:cs="Times New Roman"/>
          <w:sz w:val="28"/>
          <w:szCs w:val="28"/>
        </w:rPr>
        <w:t>的情况。</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截至</w:t>
      </w:r>
      <w:r>
        <w:rPr>
          <w:rFonts w:ascii="Times New Roman" w:hAnsi="Times New Roman" w:eastAsia="仿宋" w:cs="Times New Roman"/>
          <w:sz w:val="28"/>
          <w:szCs w:val="28"/>
        </w:rPr>
        <w:t>2022</w:t>
      </w:r>
      <w:r>
        <w:rPr>
          <w:rFonts w:hint="eastAsia"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10</w:t>
      </w:r>
      <w:r>
        <w:rPr>
          <w:rFonts w:hint="eastAsia" w:ascii="Times New Roman" w:hAnsi="Times New Roman" w:eastAsia="仿宋" w:cs="Times New Roman"/>
          <w:sz w:val="28"/>
          <w:szCs w:val="28"/>
        </w:rPr>
        <w:t>月底，泰宁县闲置土地面积</w:t>
      </w:r>
      <w:r>
        <w:rPr>
          <w:rFonts w:ascii="Times New Roman" w:hAnsi="Times New Roman" w:eastAsia="仿宋" w:cs="Times New Roman"/>
          <w:sz w:val="28"/>
          <w:szCs w:val="28"/>
        </w:rPr>
        <w:t>0</w:t>
      </w:r>
      <w:r>
        <w:rPr>
          <w:rFonts w:hint="eastAsia" w:ascii="Times New Roman" w:hAnsi="Times New Roman" w:eastAsia="仿宋" w:cs="Times New Roman"/>
          <w:sz w:val="28"/>
          <w:szCs w:val="28"/>
        </w:rPr>
        <w:t>公顷</w:t>
      </w:r>
      <w:r>
        <w:rPr>
          <w:rFonts w:ascii="Times New Roman" w:hAnsi="Times New Roman" w:eastAsia="仿宋" w:cs="Times New Roman"/>
          <w:sz w:val="28"/>
          <w:szCs w:val="28"/>
        </w:rPr>
        <w:t>&lt;50</w:t>
      </w:r>
      <w:r>
        <w:rPr>
          <w:rFonts w:hint="eastAsia" w:ascii="Times New Roman" w:hAnsi="Times New Roman" w:eastAsia="仿宋" w:cs="Times New Roman"/>
          <w:sz w:val="28"/>
          <w:szCs w:val="28"/>
        </w:rPr>
        <w:t>公顷。</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年和</w:t>
      </w:r>
      <w:r>
        <w:rPr>
          <w:rFonts w:ascii="Times New Roman" w:hAnsi="Times New Roman" w:eastAsia="仿宋" w:cs="Times New Roman"/>
          <w:sz w:val="28"/>
          <w:szCs w:val="28"/>
        </w:rPr>
        <w:t>2021</w:t>
      </w:r>
      <w:r>
        <w:rPr>
          <w:rFonts w:hint="eastAsia" w:ascii="Times New Roman" w:hAnsi="Times New Roman" w:eastAsia="仿宋" w:cs="Times New Roman"/>
          <w:sz w:val="28"/>
          <w:szCs w:val="28"/>
        </w:rPr>
        <w:t>年，泰宁县闲置土地处置率分别为</w:t>
      </w:r>
      <w:r>
        <w:rPr>
          <w:rFonts w:ascii="Times New Roman" w:hAnsi="Times New Roman" w:eastAsia="仿宋" w:cs="Times New Roman"/>
          <w:sz w:val="28"/>
          <w:szCs w:val="28"/>
        </w:rPr>
        <w:t>100%</w:t>
      </w:r>
      <w:r>
        <w:rPr>
          <w:rFonts w:hint="eastAsia" w:ascii="Times New Roman" w:hAnsi="Times New Roman" w:eastAsia="仿宋" w:cs="Times New Roman"/>
          <w:sz w:val="28"/>
          <w:szCs w:val="28"/>
        </w:rPr>
        <w:t>和</w:t>
      </w:r>
      <w:r>
        <w:rPr>
          <w:rFonts w:ascii="Times New Roman" w:hAnsi="Times New Roman" w:eastAsia="仿宋" w:cs="Times New Roman"/>
          <w:sz w:val="28"/>
          <w:szCs w:val="28"/>
        </w:rPr>
        <w:t>100%</w:t>
      </w:r>
      <w:r>
        <w:rPr>
          <w:rFonts w:hint="eastAsia" w:ascii="Times New Roman" w:hAnsi="Times New Roman" w:eastAsia="仿宋" w:cs="Times New Roman"/>
          <w:sz w:val="28"/>
          <w:szCs w:val="28"/>
        </w:rPr>
        <w:t>，均</w:t>
      </w:r>
      <w:r>
        <w:rPr>
          <w:rFonts w:ascii="Times New Roman" w:hAnsi="Times New Roman" w:eastAsia="仿宋" w:cs="Times New Roman"/>
          <w:sz w:val="28"/>
          <w:szCs w:val="28"/>
        </w:rPr>
        <w:t>已超过15%</w:t>
      </w:r>
      <w:r>
        <w:rPr>
          <w:rFonts w:hint="eastAsia" w:ascii="Times New Roman" w:hAnsi="Times New Roman" w:eastAsia="仿宋" w:cs="Times New Roman"/>
          <w:sz w:val="28"/>
          <w:szCs w:val="28"/>
        </w:rPr>
        <w:t>的情况，符合《福建省土地征收成片开发方案报批实施细则（试行）》（以下简称《实施细则》）要求。</w:t>
      </w:r>
    </w:p>
    <w:p>
      <w:pPr>
        <w:pStyle w:val="4"/>
        <w:spacing w:before="120" w:after="120" w:line="360" w:lineRule="auto"/>
        <w:rPr>
          <w:rFonts w:ascii="Times New Roman" w:hAnsi="Times New Roman" w:eastAsia="黑体" w:cs="Times New Roman"/>
          <w:b w:val="0"/>
          <w:bCs/>
          <w:sz w:val="32"/>
          <w:szCs w:val="32"/>
        </w:rPr>
      </w:pPr>
      <w:bookmarkStart w:id="5" w:name="_Toc13389"/>
      <w:r>
        <w:rPr>
          <w:rFonts w:ascii="Times New Roman" w:hAnsi="Times New Roman" w:eastAsia="黑体" w:cs="Times New Roman"/>
          <w:b w:val="0"/>
          <w:bCs/>
          <w:sz w:val="32"/>
          <w:szCs w:val="32"/>
        </w:rPr>
        <w:t>三、基本情况</w:t>
      </w:r>
      <w:bookmarkEnd w:id="5"/>
    </w:p>
    <w:p>
      <w:pPr>
        <w:pStyle w:val="5"/>
        <w:spacing w:before="0" w:after="0" w:line="240" w:lineRule="auto"/>
        <w:ind w:firstLine="600" w:firstLineChars="200"/>
        <w:rPr>
          <w:rFonts w:ascii="Times New Roman" w:hAnsi="Times New Roman" w:cs="Times New Roman"/>
          <w:b w:val="0"/>
          <w:bCs/>
          <w:sz w:val="30"/>
          <w:szCs w:val="30"/>
        </w:rPr>
      </w:pPr>
      <w:bookmarkStart w:id="6" w:name="_Toc31321"/>
      <w:bookmarkStart w:id="7" w:name="_Toc32685"/>
      <w:r>
        <w:rPr>
          <w:rFonts w:ascii="Times New Roman" w:hAnsi="Times New Roman" w:cs="Times New Roman"/>
          <w:b w:val="0"/>
          <w:bCs/>
          <w:sz w:val="30"/>
          <w:szCs w:val="30"/>
        </w:rPr>
        <w:t>（一）区域位置</w:t>
      </w:r>
      <w:bookmarkEnd w:id="6"/>
      <w:bookmarkEnd w:id="7"/>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本方案片区位于泰宁县城约北面31公里处，涉及朱口镇龙湖村。距离，距朱口镇政府所在地18公里。工业园对外主要是依靠省道S219线。工业集中区对外交通联系较为便捷。</w:t>
      </w:r>
    </w:p>
    <w:p>
      <w:pPr>
        <w:pStyle w:val="5"/>
        <w:spacing w:before="0" w:after="0" w:line="240" w:lineRule="auto"/>
        <w:ind w:firstLine="600" w:firstLineChars="200"/>
        <w:rPr>
          <w:rFonts w:ascii="Times New Roman" w:hAnsi="Times New Roman" w:cs="Times New Roman"/>
          <w:b w:val="0"/>
          <w:bCs/>
          <w:sz w:val="30"/>
          <w:szCs w:val="30"/>
        </w:rPr>
      </w:pPr>
      <w:bookmarkStart w:id="8" w:name="_Toc30565"/>
      <w:bookmarkStart w:id="9" w:name="_Toc29352"/>
      <w:r>
        <w:rPr>
          <w:rFonts w:ascii="Times New Roman" w:hAnsi="Times New Roman" w:cs="Times New Roman"/>
          <w:b w:val="0"/>
          <w:bCs/>
          <w:sz w:val="30"/>
          <w:szCs w:val="30"/>
        </w:rPr>
        <w:t>（二）方案范围</w:t>
      </w:r>
      <w:bookmarkEnd w:id="8"/>
      <w:bookmarkEnd w:id="9"/>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本方案片区地块四至范围：东至龙湖村</w:t>
      </w:r>
      <w:r>
        <w:rPr>
          <w:rFonts w:hint="eastAsia" w:ascii="Times New Roman" w:hAnsi="Times New Roman" w:eastAsia="仿宋" w:cs="Times New Roman"/>
          <w:sz w:val="28"/>
          <w:szCs w:val="28"/>
          <w:lang w:val="en-US" w:eastAsia="zh-CN"/>
        </w:rPr>
        <w:t>规划</w:t>
      </w:r>
      <w:r>
        <w:rPr>
          <w:rFonts w:hint="eastAsia" w:ascii="Times New Roman" w:hAnsi="Times New Roman" w:eastAsia="仿宋" w:cs="Times New Roman"/>
          <w:sz w:val="28"/>
          <w:szCs w:val="28"/>
        </w:rPr>
        <w:t>道路，南至规划绿地，西至规划绿地，北至龙湖工业园旧址。南北长约</w:t>
      </w:r>
      <w:r>
        <w:rPr>
          <w:rFonts w:ascii="Times New Roman" w:hAnsi="Times New Roman" w:eastAsia="仿宋" w:cs="Times New Roman"/>
          <w:sz w:val="28"/>
          <w:szCs w:val="28"/>
        </w:rPr>
        <w:t>1100</w:t>
      </w:r>
      <w:r>
        <w:rPr>
          <w:rFonts w:hint="eastAsia" w:ascii="Times New Roman" w:hAnsi="Times New Roman" w:eastAsia="仿宋" w:cs="Times New Roman"/>
          <w:sz w:val="28"/>
          <w:szCs w:val="28"/>
        </w:rPr>
        <w:t>米，东西长约</w:t>
      </w:r>
      <w:r>
        <w:rPr>
          <w:rFonts w:ascii="Times New Roman" w:hAnsi="Times New Roman" w:eastAsia="仿宋" w:cs="Times New Roman"/>
          <w:sz w:val="28"/>
          <w:szCs w:val="28"/>
        </w:rPr>
        <w:t>900</w:t>
      </w:r>
      <w:r>
        <w:rPr>
          <w:rFonts w:hint="eastAsia" w:ascii="Times New Roman" w:hAnsi="Times New Roman" w:eastAsia="仿宋" w:cs="Times New Roman"/>
          <w:sz w:val="28"/>
          <w:szCs w:val="28"/>
        </w:rPr>
        <w:t>米，用地总面积</w:t>
      </w:r>
      <w:r>
        <w:rPr>
          <w:rFonts w:ascii="Times New Roman" w:hAnsi="Times New Roman" w:eastAsia="仿宋" w:cs="Times New Roman"/>
          <w:sz w:val="28"/>
          <w:szCs w:val="28"/>
        </w:rPr>
        <w:t>37.92</w:t>
      </w:r>
      <w:r>
        <w:rPr>
          <w:rFonts w:hint="eastAsia" w:ascii="Times New Roman" w:hAnsi="Times New Roman" w:eastAsia="仿宋" w:cs="Times New Roman"/>
          <w:sz w:val="28"/>
          <w:szCs w:val="28"/>
          <w:lang w:val="en-US" w:eastAsia="zh-CN"/>
        </w:rPr>
        <w:t>0</w:t>
      </w:r>
      <w:r>
        <w:rPr>
          <w:rFonts w:ascii="Times New Roman" w:hAnsi="Times New Roman" w:eastAsia="仿宋" w:cs="Times New Roman"/>
          <w:sz w:val="28"/>
          <w:szCs w:val="28"/>
        </w:rPr>
        <w:t>0</w:t>
      </w:r>
      <w:r>
        <w:rPr>
          <w:rFonts w:hint="eastAsia" w:ascii="Times New Roman" w:hAnsi="Times New Roman" w:eastAsia="仿宋" w:cs="Times New Roman"/>
          <w:sz w:val="28"/>
          <w:szCs w:val="28"/>
        </w:rPr>
        <w:t>公顷。</w:t>
      </w:r>
    </w:p>
    <w:p>
      <w:pPr>
        <w:pStyle w:val="5"/>
        <w:spacing w:before="0" w:after="0" w:line="240" w:lineRule="auto"/>
        <w:ind w:firstLine="600" w:firstLineChars="200"/>
        <w:rPr>
          <w:rFonts w:ascii="Times New Roman" w:hAnsi="Times New Roman" w:cs="Times New Roman"/>
          <w:b w:val="0"/>
          <w:bCs/>
          <w:sz w:val="30"/>
          <w:szCs w:val="30"/>
        </w:rPr>
      </w:pPr>
      <w:bookmarkStart w:id="10" w:name="_Toc25367"/>
      <w:bookmarkStart w:id="11" w:name="_Toc13031"/>
      <w:r>
        <w:rPr>
          <w:rFonts w:ascii="Times New Roman" w:hAnsi="Times New Roman" w:cs="Times New Roman"/>
          <w:b w:val="0"/>
          <w:bCs/>
          <w:sz w:val="30"/>
          <w:szCs w:val="30"/>
        </w:rPr>
        <w:t>（三）用地条件</w:t>
      </w:r>
      <w:bookmarkEnd w:id="10"/>
      <w:bookmarkEnd w:id="11"/>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本方案涉及泰宁县朱口镇龙湖村，共1个镇1个村根据实地勘测调查，本方案成片开发范围总面积</w:t>
      </w:r>
      <w:r>
        <w:rPr>
          <w:rFonts w:ascii="Times New Roman" w:hAnsi="Times New Roman" w:eastAsia="仿宋" w:cs="Times New Roman"/>
          <w:sz w:val="28"/>
          <w:szCs w:val="28"/>
        </w:rPr>
        <w:t>37.92</w:t>
      </w:r>
      <w:r>
        <w:rPr>
          <w:rFonts w:hint="eastAsia" w:ascii="Times New Roman" w:hAnsi="Times New Roman" w:eastAsia="仿宋" w:cs="Times New Roman"/>
          <w:sz w:val="28"/>
          <w:szCs w:val="28"/>
          <w:lang w:val="en-US" w:eastAsia="zh-CN"/>
        </w:rPr>
        <w:t>0</w:t>
      </w:r>
      <w:r>
        <w:rPr>
          <w:rFonts w:ascii="Times New Roman" w:hAnsi="Times New Roman" w:eastAsia="仿宋" w:cs="Times New Roman"/>
          <w:sz w:val="28"/>
          <w:szCs w:val="28"/>
        </w:rPr>
        <w:t>0</w:t>
      </w:r>
      <w:r>
        <w:rPr>
          <w:rFonts w:hint="eastAsia" w:ascii="Times New Roman" w:hAnsi="Times New Roman" w:eastAsia="仿宋" w:cs="Times New Roman"/>
          <w:sz w:val="28"/>
          <w:szCs w:val="28"/>
        </w:rPr>
        <w:t>公顷。其中，农用地</w:t>
      </w:r>
      <w:r>
        <w:rPr>
          <w:rFonts w:ascii="Times New Roman" w:hAnsi="Times New Roman" w:eastAsia="仿宋" w:cs="Times New Roman"/>
          <w:sz w:val="28"/>
          <w:szCs w:val="28"/>
        </w:rPr>
        <w:t>37.89</w:t>
      </w:r>
      <w:r>
        <w:rPr>
          <w:rFonts w:hint="eastAsia" w:ascii="Times New Roman" w:hAnsi="Times New Roman" w:eastAsia="仿宋" w:cs="Times New Roman"/>
          <w:sz w:val="28"/>
          <w:szCs w:val="28"/>
          <w:lang w:val="en-US" w:eastAsia="zh-CN"/>
        </w:rPr>
        <w:t>44</w:t>
      </w:r>
      <w:r>
        <w:rPr>
          <w:rFonts w:hint="eastAsia" w:ascii="Times New Roman" w:hAnsi="Times New Roman" w:eastAsia="仿宋" w:cs="Times New Roman"/>
          <w:sz w:val="28"/>
          <w:szCs w:val="28"/>
        </w:rPr>
        <w:t>公顷（耕地</w:t>
      </w:r>
      <w:r>
        <w:rPr>
          <w:rFonts w:ascii="Times New Roman" w:hAnsi="Times New Roman" w:eastAsia="仿宋" w:cs="Times New Roman"/>
          <w:sz w:val="28"/>
          <w:szCs w:val="28"/>
        </w:rPr>
        <w:t>3.15</w:t>
      </w:r>
      <w:r>
        <w:rPr>
          <w:rFonts w:hint="eastAsia" w:ascii="Times New Roman" w:hAnsi="Times New Roman" w:eastAsia="仿宋" w:cs="Times New Roman"/>
          <w:sz w:val="28"/>
          <w:szCs w:val="28"/>
          <w:lang w:val="en-US" w:eastAsia="zh-CN"/>
        </w:rPr>
        <w:t>53</w:t>
      </w:r>
      <w:r>
        <w:rPr>
          <w:rFonts w:hint="eastAsia" w:ascii="Times New Roman" w:hAnsi="Times New Roman" w:eastAsia="仿宋" w:cs="Times New Roman"/>
          <w:sz w:val="28"/>
          <w:szCs w:val="28"/>
        </w:rPr>
        <w:t>公顷），建设用地0公顷，未利用</w:t>
      </w:r>
      <w:r>
        <w:rPr>
          <w:rFonts w:ascii="Times New Roman" w:hAnsi="Times New Roman" w:eastAsia="仿宋" w:cs="Times New Roman"/>
          <w:sz w:val="28"/>
          <w:szCs w:val="28"/>
        </w:rPr>
        <w:t>0.025</w:t>
      </w:r>
      <w:r>
        <w:rPr>
          <w:rFonts w:hint="eastAsia" w:ascii="Times New Roman" w:hAnsi="Times New Roman" w:eastAsia="仿宋" w:cs="Times New Roman"/>
          <w:sz w:val="28"/>
          <w:szCs w:val="28"/>
          <w:lang w:val="en-US" w:eastAsia="zh-CN"/>
        </w:rPr>
        <w:t>6</w:t>
      </w:r>
      <w:r>
        <w:rPr>
          <w:rFonts w:hint="eastAsia" w:ascii="Times New Roman" w:hAnsi="Times New Roman" w:eastAsia="仿宋" w:cs="Times New Roman"/>
          <w:sz w:val="28"/>
          <w:szCs w:val="28"/>
        </w:rPr>
        <w:t>公顷。</w:t>
      </w:r>
    </w:p>
    <w:p>
      <w:pPr>
        <w:pStyle w:val="5"/>
        <w:spacing w:before="0" w:after="0" w:line="240" w:lineRule="auto"/>
        <w:ind w:firstLine="600" w:firstLineChars="200"/>
        <w:rPr>
          <w:rFonts w:ascii="Times New Roman" w:hAnsi="Times New Roman" w:eastAsia="仿宋" w:cs="Times New Roman"/>
          <w:sz w:val="28"/>
          <w:szCs w:val="28"/>
        </w:rPr>
      </w:pPr>
      <w:bookmarkStart w:id="12" w:name="_Toc10791"/>
      <w:bookmarkStart w:id="13" w:name="_Toc7062"/>
      <w:r>
        <w:rPr>
          <w:rFonts w:ascii="Times New Roman" w:hAnsi="Times New Roman" w:cs="Times New Roman"/>
          <w:b w:val="0"/>
          <w:bCs/>
          <w:sz w:val="30"/>
          <w:szCs w:val="30"/>
        </w:rPr>
        <w:t>（</w:t>
      </w:r>
      <w:r>
        <w:rPr>
          <w:rFonts w:hint="eastAsia" w:ascii="Times New Roman" w:hAnsi="Times New Roman" w:cs="Times New Roman"/>
          <w:b w:val="0"/>
          <w:bCs/>
          <w:sz w:val="30"/>
          <w:szCs w:val="30"/>
        </w:rPr>
        <w:t>四</w:t>
      </w:r>
      <w:r>
        <w:rPr>
          <w:rFonts w:ascii="Times New Roman" w:hAnsi="Times New Roman" w:cs="Times New Roman"/>
          <w:b w:val="0"/>
          <w:bCs/>
          <w:sz w:val="30"/>
          <w:szCs w:val="30"/>
        </w:rPr>
        <w:t>）实施周期</w:t>
      </w:r>
      <w:bookmarkEnd w:id="12"/>
      <w:bookmarkEnd w:id="13"/>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综合考虑当地社会经济发展状况等因素，本方案实施周期为</w:t>
      </w:r>
      <w:r>
        <w:rPr>
          <w:rFonts w:hint="eastAsia" w:ascii="Times New Roman" w:hAnsi="Times New Roman" w:eastAsia="仿宋" w:cs="Times New Roman"/>
          <w:sz w:val="28"/>
          <w:szCs w:val="28"/>
        </w:rPr>
        <w:t>3</w:t>
      </w:r>
      <w:r>
        <w:rPr>
          <w:rFonts w:ascii="Times New Roman" w:hAnsi="Times New Roman" w:eastAsia="仿宋" w:cs="Times New Roman"/>
          <w:sz w:val="28"/>
          <w:szCs w:val="28"/>
        </w:rPr>
        <w:t>年（2022年至2024年）。</w:t>
      </w:r>
    </w:p>
    <w:p>
      <w:pPr>
        <w:pStyle w:val="4"/>
        <w:spacing w:before="120" w:after="120" w:line="360" w:lineRule="auto"/>
        <w:rPr>
          <w:rFonts w:ascii="Times New Roman" w:hAnsi="Times New Roman" w:eastAsia="黑体" w:cs="Times New Roman"/>
          <w:b w:val="0"/>
          <w:bCs/>
          <w:sz w:val="32"/>
          <w:szCs w:val="32"/>
        </w:rPr>
      </w:pPr>
      <w:bookmarkStart w:id="14" w:name="_Toc25312"/>
      <w:r>
        <w:rPr>
          <w:rFonts w:hint="eastAsia" w:ascii="Times New Roman" w:hAnsi="Times New Roman" w:eastAsia="黑体" w:cs="Times New Roman"/>
          <w:b w:val="0"/>
          <w:bCs/>
          <w:sz w:val="32"/>
          <w:szCs w:val="32"/>
        </w:rPr>
        <w:t>四</w:t>
      </w:r>
      <w:r>
        <w:rPr>
          <w:rFonts w:ascii="Times New Roman" w:hAnsi="Times New Roman" w:eastAsia="黑体" w:cs="Times New Roman"/>
          <w:b w:val="0"/>
          <w:bCs/>
          <w:sz w:val="32"/>
          <w:szCs w:val="32"/>
        </w:rPr>
        <w:t>、</w:t>
      </w:r>
      <w:r>
        <w:rPr>
          <w:rFonts w:hint="eastAsia" w:ascii="Times New Roman" w:hAnsi="Times New Roman" w:eastAsia="黑体" w:cs="Times New Roman"/>
          <w:b w:val="0"/>
          <w:bCs/>
          <w:sz w:val="32"/>
          <w:szCs w:val="32"/>
        </w:rPr>
        <w:t>主要用途、实现功能及公益性用地比例</w:t>
      </w:r>
      <w:bookmarkEnd w:id="14"/>
    </w:p>
    <w:p>
      <w:pPr>
        <w:spacing w:line="360" w:lineRule="auto"/>
        <w:ind w:firstLine="560" w:firstLineChars="200"/>
        <w:rPr>
          <w:rFonts w:ascii="Times New Roman" w:hAnsi="Times New Roman" w:eastAsia="仿宋" w:cs="Times New Roman"/>
          <w:sz w:val="28"/>
          <w:szCs w:val="28"/>
        </w:rPr>
      </w:pPr>
      <w:bookmarkStart w:id="15" w:name="_Toc20077"/>
      <w:bookmarkStart w:id="16" w:name="_Toc61179750"/>
      <w:bookmarkStart w:id="17" w:name="_Toc9058"/>
      <w:r>
        <w:rPr>
          <w:rFonts w:hint="eastAsia" w:ascii="Times New Roman" w:hAnsi="Times New Roman" w:eastAsia="仿宋" w:cs="Times New Roman"/>
          <w:sz w:val="28"/>
          <w:szCs w:val="28"/>
        </w:rPr>
        <w:t>本方案用地总面积</w:t>
      </w:r>
      <w:r>
        <w:rPr>
          <w:rFonts w:ascii="Times New Roman" w:hAnsi="Times New Roman" w:eastAsia="仿宋" w:cs="Times New Roman"/>
          <w:sz w:val="28"/>
          <w:szCs w:val="28"/>
        </w:rPr>
        <w:t>37.92</w:t>
      </w:r>
      <w:r>
        <w:rPr>
          <w:rFonts w:hint="eastAsia" w:ascii="Times New Roman" w:hAnsi="Times New Roman" w:eastAsia="仿宋" w:cs="Times New Roman"/>
          <w:sz w:val="28"/>
          <w:szCs w:val="28"/>
          <w:lang w:val="en-US" w:eastAsia="zh-CN"/>
        </w:rPr>
        <w:t>0</w:t>
      </w:r>
      <w:r>
        <w:rPr>
          <w:rFonts w:ascii="Times New Roman" w:hAnsi="Times New Roman" w:eastAsia="仿宋" w:cs="Times New Roman"/>
          <w:sz w:val="28"/>
          <w:szCs w:val="28"/>
        </w:rPr>
        <w:t>0</w:t>
      </w:r>
      <w:r>
        <w:rPr>
          <w:rFonts w:hint="eastAsia" w:ascii="Times New Roman" w:hAnsi="Times New Roman" w:eastAsia="仿宋" w:cs="Times New Roman"/>
          <w:sz w:val="28"/>
          <w:szCs w:val="28"/>
        </w:rPr>
        <w:t>公顷，其中：</w:t>
      </w:r>
      <w:bookmarkStart w:id="18" w:name="_Toc20511"/>
      <w:r>
        <w:rPr>
          <w:rFonts w:hint="eastAsia" w:ascii="Times New Roman" w:hAnsi="Times New Roman" w:eastAsia="仿宋" w:cs="Times New Roman"/>
          <w:sz w:val="28"/>
          <w:szCs w:val="28"/>
        </w:rPr>
        <w:t>工业用地占地面积</w:t>
      </w:r>
      <w:r>
        <w:rPr>
          <w:rFonts w:ascii="Times New Roman" w:hAnsi="Times New Roman" w:eastAsia="仿宋" w:cs="Times New Roman"/>
          <w:sz w:val="28"/>
          <w:szCs w:val="28"/>
        </w:rPr>
        <w:t>22.6631</w:t>
      </w:r>
      <w:r>
        <w:rPr>
          <w:rFonts w:hint="eastAsia" w:ascii="Times New Roman" w:hAnsi="Times New Roman" w:eastAsia="仿宋" w:cs="Times New Roman"/>
          <w:sz w:val="28"/>
          <w:szCs w:val="28"/>
        </w:rPr>
        <w:t>公顷，</w:t>
      </w:r>
      <w:bookmarkStart w:id="19" w:name="_Hlk69713016"/>
      <w:r>
        <w:rPr>
          <w:rFonts w:ascii="Times New Roman" w:hAnsi="Times New Roman" w:eastAsia="仿宋" w:cs="Times New Roman"/>
          <w:sz w:val="28"/>
          <w:szCs w:val="28"/>
        </w:rPr>
        <w:t>防护绿地</w:t>
      </w:r>
      <w:r>
        <w:rPr>
          <w:rFonts w:hint="eastAsia" w:ascii="Times New Roman" w:hAnsi="Times New Roman" w:eastAsia="仿宋" w:cs="Times New Roman"/>
          <w:sz w:val="28"/>
          <w:szCs w:val="28"/>
        </w:rPr>
        <w:t>占地</w:t>
      </w:r>
      <w:r>
        <w:rPr>
          <w:rFonts w:ascii="Times New Roman" w:hAnsi="Times New Roman" w:eastAsia="仿宋" w:cs="Times New Roman"/>
          <w:sz w:val="28"/>
          <w:szCs w:val="28"/>
        </w:rPr>
        <w:t>面积14.2</w:t>
      </w:r>
      <w:r>
        <w:rPr>
          <w:rFonts w:hint="eastAsia" w:ascii="Times New Roman" w:hAnsi="Times New Roman" w:eastAsia="仿宋" w:cs="Times New Roman"/>
          <w:sz w:val="28"/>
          <w:szCs w:val="28"/>
          <w:lang w:val="en-US" w:eastAsia="zh-CN"/>
        </w:rPr>
        <w:t>218</w:t>
      </w:r>
      <w:r>
        <w:rPr>
          <w:rFonts w:ascii="Times New Roman" w:hAnsi="Times New Roman" w:eastAsia="仿宋" w:cs="Times New Roman"/>
          <w:sz w:val="28"/>
          <w:szCs w:val="28"/>
        </w:rPr>
        <w:t>公顷</w:t>
      </w:r>
      <w:bookmarkEnd w:id="19"/>
      <w:bookmarkStart w:id="20" w:name="_Hlk69713039"/>
      <w:r>
        <w:rPr>
          <w:rFonts w:hint="eastAsia" w:ascii="Times New Roman" w:hAnsi="Times New Roman" w:eastAsia="仿宋" w:cs="Times New Roman"/>
          <w:sz w:val="28"/>
          <w:szCs w:val="28"/>
        </w:rPr>
        <w:t>，</w:t>
      </w:r>
      <w:bookmarkEnd w:id="20"/>
      <w:r>
        <w:rPr>
          <w:rFonts w:hint="eastAsia" w:ascii="Times New Roman" w:hAnsi="Times New Roman" w:eastAsia="仿宋" w:cs="Times New Roman"/>
          <w:sz w:val="28"/>
          <w:szCs w:val="28"/>
        </w:rPr>
        <w:t>城镇道路用地占地面积</w:t>
      </w:r>
      <w:r>
        <w:rPr>
          <w:rFonts w:hint="eastAsia" w:ascii="Times New Roman" w:hAnsi="Times New Roman" w:eastAsia="仿宋" w:cs="Times New Roman"/>
          <w:sz w:val="28"/>
          <w:szCs w:val="28"/>
          <w:lang w:val="en-US" w:eastAsia="zh-CN"/>
        </w:rPr>
        <w:t>1.0351</w:t>
      </w:r>
      <w:r>
        <w:rPr>
          <w:rFonts w:hint="eastAsia" w:ascii="Times New Roman" w:hAnsi="Times New Roman" w:eastAsia="仿宋" w:cs="Times New Roman"/>
          <w:sz w:val="28"/>
          <w:szCs w:val="28"/>
        </w:rPr>
        <w:t>公顷。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防护绿地、城镇道路用地属于公益性用地，合计</w:t>
      </w:r>
      <w:r>
        <w:rPr>
          <w:rFonts w:ascii="Times New Roman" w:hAnsi="Times New Roman" w:eastAsia="仿宋" w:cs="Times New Roman"/>
          <w:sz w:val="28"/>
          <w:szCs w:val="28"/>
        </w:rPr>
        <w:t>15.</w:t>
      </w:r>
      <w:r>
        <w:rPr>
          <w:rFonts w:hint="eastAsia" w:ascii="Times New Roman" w:hAnsi="Times New Roman" w:eastAsia="仿宋" w:cs="Times New Roman"/>
          <w:sz w:val="28"/>
          <w:szCs w:val="28"/>
          <w:lang w:val="en-US" w:eastAsia="zh-CN"/>
        </w:rPr>
        <w:t>2569</w:t>
      </w:r>
      <w:r>
        <w:rPr>
          <w:rFonts w:hint="eastAsia" w:ascii="Times New Roman" w:hAnsi="Times New Roman" w:eastAsia="仿宋" w:cs="Times New Roman"/>
          <w:sz w:val="28"/>
          <w:szCs w:val="28"/>
        </w:rPr>
        <w:t>公顷，占总面积的</w:t>
      </w:r>
      <w:r>
        <w:rPr>
          <w:rFonts w:ascii="Times New Roman" w:hAnsi="Times New Roman" w:eastAsia="仿宋" w:cs="Times New Roman"/>
          <w:sz w:val="28"/>
          <w:szCs w:val="28"/>
        </w:rPr>
        <w:t>40.2</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w:t>
      </w:r>
      <w:r>
        <w:rPr>
          <w:rFonts w:hint="eastAsia" w:ascii="Times New Roman" w:hAnsi="Times New Roman" w:eastAsia="仿宋" w:cs="Times New Roman"/>
          <w:sz w:val="28"/>
          <w:szCs w:val="28"/>
        </w:rPr>
        <w:t>，符合《土地征收成片开发标准（试行）》公益性用地占比不低于</w:t>
      </w:r>
      <w:r>
        <w:rPr>
          <w:rFonts w:ascii="Times New Roman" w:hAnsi="Times New Roman" w:eastAsia="仿宋" w:cs="Times New Roman"/>
          <w:sz w:val="28"/>
          <w:szCs w:val="28"/>
        </w:rPr>
        <w:t>40%</w:t>
      </w:r>
      <w:r>
        <w:rPr>
          <w:rFonts w:hint="eastAsia" w:ascii="Times New Roman" w:hAnsi="Times New Roman" w:eastAsia="仿宋" w:cs="Times New Roman"/>
          <w:sz w:val="28"/>
          <w:szCs w:val="28"/>
        </w:rPr>
        <w:t>的规定。</w:t>
      </w:r>
    </w:p>
    <w:p>
      <w:pPr>
        <w:pStyle w:val="4"/>
        <w:spacing w:before="0" w:after="120" w:line="360" w:lineRule="auto"/>
        <w:rPr>
          <w:rFonts w:ascii="Times New Roman" w:hAnsi="Times New Roman" w:eastAsia="黑体" w:cs="Times New Roman"/>
          <w:b w:val="0"/>
          <w:bCs/>
          <w:sz w:val="32"/>
          <w:szCs w:val="32"/>
        </w:rPr>
      </w:pPr>
      <w:r>
        <w:rPr>
          <w:rFonts w:hint="eastAsia" w:ascii="Times New Roman" w:hAnsi="Times New Roman" w:eastAsia="黑体" w:cs="Times New Roman"/>
          <w:b w:val="0"/>
          <w:bCs/>
          <w:sz w:val="32"/>
          <w:szCs w:val="32"/>
        </w:rPr>
        <w:t>五</w:t>
      </w:r>
      <w:r>
        <w:rPr>
          <w:rFonts w:ascii="Times New Roman" w:hAnsi="Times New Roman" w:eastAsia="黑体" w:cs="Times New Roman"/>
          <w:b w:val="0"/>
          <w:bCs/>
          <w:sz w:val="32"/>
          <w:szCs w:val="32"/>
        </w:rPr>
        <w:t>、合法合规性分析</w:t>
      </w:r>
      <w:bookmarkEnd w:id="18"/>
    </w:p>
    <w:p>
      <w:pPr>
        <w:spacing w:line="360" w:lineRule="auto"/>
        <w:ind w:firstLine="560"/>
        <w:rPr>
          <w:rFonts w:ascii="Times New Roman" w:hAnsi="Times New Roman" w:eastAsia="仿宋" w:cs="Times New Roman"/>
          <w:sz w:val="28"/>
          <w:szCs w:val="28"/>
        </w:rPr>
      </w:pPr>
      <w:bookmarkStart w:id="21" w:name="_Toc19180"/>
      <w:bookmarkStart w:id="22" w:name="_Toc26938"/>
      <w:bookmarkStart w:id="23" w:name="_Toc6552"/>
      <w:r>
        <w:rPr>
          <w:rFonts w:hint="eastAsia" w:ascii="Times New Roman" w:hAnsi="Times New Roman" w:eastAsia="仿宋" w:cs="Times New Roman"/>
          <w:b/>
          <w:bCs/>
          <w:sz w:val="28"/>
          <w:szCs w:val="28"/>
        </w:rPr>
        <w:t>国土空间规划：</w:t>
      </w:r>
      <w:r>
        <w:rPr>
          <w:rFonts w:ascii="Times New Roman" w:hAnsi="Times New Roman" w:eastAsia="仿宋" w:cs="Times New Roman"/>
          <w:sz w:val="28"/>
          <w:szCs w:val="28"/>
        </w:rPr>
        <w:t>成片开发范围位于土地利用总体规划确定的</w:t>
      </w:r>
      <w:r>
        <w:rPr>
          <w:rFonts w:hint="eastAsia" w:ascii="Times New Roman" w:hAnsi="Times New Roman" w:eastAsia="仿宋" w:cs="Times New Roman"/>
          <w:sz w:val="28"/>
          <w:szCs w:val="28"/>
        </w:rPr>
        <w:t>城镇建设用地范围</w:t>
      </w:r>
      <w:r>
        <w:rPr>
          <w:rFonts w:ascii="Times New Roman" w:hAnsi="Times New Roman" w:eastAsia="仿宋" w:cs="Times New Roman"/>
          <w:sz w:val="28"/>
          <w:szCs w:val="28"/>
        </w:rPr>
        <w:t>，</w:t>
      </w:r>
      <w:r>
        <w:rPr>
          <w:rFonts w:hint="eastAsia" w:ascii="Times New Roman" w:hAnsi="Times New Roman" w:eastAsia="仿宋" w:cs="Times New Roman"/>
          <w:sz w:val="28"/>
          <w:szCs w:val="28"/>
        </w:rPr>
        <w:t>本</w:t>
      </w:r>
      <w:r>
        <w:rPr>
          <w:rFonts w:ascii="Times New Roman" w:hAnsi="Times New Roman" w:eastAsia="仿宋" w:cs="Times New Roman"/>
          <w:sz w:val="28"/>
          <w:szCs w:val="28"/>
        </w:rPr>
        <w:t>方案土地征收成片开发范围</w:t>
      </w:r>
      <w:r>
        <w:rPr>
          <w:rFonts w:hint="eastAsia" w:ascii="Times New Roman" w:hAnsi="Times New Roman" w:eastAsia="仿宋" w:cs="Times New Roman"/>
          <w:sz w:val="28"/>
          <w:szCs w:val="28"/>
        </w:rPr>
        <w:t>已</w:t>
      </w:r>
      <w:r>
        <w:rPr>
          <w:rFonts w:ascii="Times New Roman" w:hAnsi="Times New Roman" w:eastAsia="仿宋" w:cs="Times New Roman"/>
          <w:sz w:val="28"/>
          <w:szCs w:val="28"/>
        </w:rPr>
        <w:t>纳入</w:t>
      </w:r>
      <w:r>
        <w:rPr>
          <w:rFonts w:hint="eastAsia" w:ascii="Times New Roman" w:hAnsi="Times New Roman" w:eastAsia="仿宋" w:cs="Times New Roman"/>
          <w:sz w:val="28"/>
          <w:szCs w:val="28"/>
        </w:rPr>
        <w:t>上报的城镇开发边界集中建设区，泰宁县人民政府承诺将土地征收成片开发范围纳入国土空间规划最终确定的城镇开发边界内的集中建设区，并符合规划管控规则。</w:t>
      </w:r>
    </w:p>
    <w:p>
      <w:pPr>
        <w:spacing w:line="360" w:lineRule="auto"/>
        <w:ind w:firstLine="560"/>
        <w:rPr>
          <w:rFonts w:ascii="Times New Roman" w:hAnsi="Times New Roman" w:eastAsia="仿宋" w:cs="Times New Roman"/>
          <w:sz w:val="28"/>
          <w:szCs w:val="28"/>
        </w:rPr>
      </w:pPr>
      <w:r>
        <w:rPr>
          <w:rFonts w:ascii="Times New Roman" w:hAnsi="Times New Roman" w:eastAsia="仿宋" w:cs="Times New Roman"/>
          <w:b/>
          <w:bCs/>
          <w:sz w:val="28"/>
          <w:szCs w:val="28"/>
        </w:rPr>
        <w:t>国民经济和社会发展规划、年度计划：</w:t>
      </w:r>
      <w:r>
        <w:rPr>
          <w:rFonts w:ascii="Times New Roman" w:hAnsi="Times New Roman" w:eastAsia="仿宋" w:cs="Times New Roman"/>
          <w:sz w:val="28"/>
          <w:szCs w:val="28"/>
        </w:rPr>
        <w:t>本方案与现行国民经济和社会发展规划相符，已纳入国民经济和社会发展年度计划。</w:t>
      </w:r>
    </w:p>
    <w:p>
      <w:pPr>
        <w:spacing w:line="360" w:lineRule="auto"/>
        <w:ind w:firstLine="560"/>
        <w:rPr>
          <w:rFonts w:ascii="Times New Roman" w:hAnsi="Times New Roman" w:eastAsia="仿宋" w:cs="Times New Roman"/>
          <w:sz w:val="28"/>
          <w:szCs w:val="28"/>
        </w:rPr>
      </w:pPr>
      <w:r>
        <w:rPr>
          <w:rFonts w:ascii="Times New Roman" w:hAnsi="Times New Roman" w:eastAsia="仿宋" w:cs="Times New Roman"/>
          <w:b/>
          <w:bCs/>
          <w:sz w:val="28"/>
          <w:szCs w:val="28"/>
        </w:rPr>
        <w:t>占用永久基本农田和其他法律法规规定不允许占用或开发的：</w:t>
      </w:r>
      <w:r>
        <w:rPr>
          <w:rFonts w:ascii="Times New Roman" w:hAnsi="Times New Roman" w:eastAsia="仿宋" w:cs="Times New Roman"/>
          <w:sz w:val="28"/>
          <w:szCs w:val="28"/>
        </w:rPr>
        <w:t>本方案不占用永久基本农田、生态保护红线</w:t>
      </w:r>
      <w:r>
        <w:rPr>
          <w:rFonts w:hint="eastAsia" w:ascii="Times New Roman" w:hAnsi="Times New Roman" w:eastAsia="仿宋" w:cs="Times New Roman"/>
          <w:sz w:val="28"/>
          <w:szCs w:val="28"/>
        </w:rPr>
        <w:t>和自然</w:t>
      </w:r>
      <w:r>
        <w:rPr>
          <w:rFonts w:ascii="Times New Roman" w:hAnsi="Times New Roman" w:eastAsia="仿宋" w:cs="Times New Roman"/>
          <w:sz w:val="28"/>
          <w:szCs w:val="28"/>
        </w:rPr>
        <w:t>保护地</w:t>
      </w:r>
      <w:r>
        <w:rPr>
          <w:rFonts w:hint="eastAsia" w:ascii="Times New Roman" w:hAnsi="Times New Roman" w:eastAsia="仿宋" w:cs="Times New Roman"/>
          <w:sz w:val="28"/>
          <w:szCs w:val="28"/>
        </w:rPr>
        <w:t>。</w:t>
      </w:r>
      <w:bookmarkEnd w:id="21"/>
      <w:bookmarkEnd w:id="22"/>
      <w:bookmarkEnd w:id="23"/>
    </w:p>
    <w:bookmarkEnd w:id="15"/>
    <w:bookmarkEnd w:id="16"/>
    <w:bookmarkEnd w:id="17"/>
    <w:p>
      <w:pPr>
        <w:pStyle w:val="4"/>
        <w:spacing w:before="120" w:after="120" w:line="360" w:lineRule="auto"/>
        <w:rPr>
          <w:rFonts w:ascii="Times New Roman" w:hAnsi="Times New Roman" w:eastAsia="黑体" w:cs="Times New Roman"/>
          <w:b w:val="0"/>
          <w:bCs/>
          <w:sz w:val="32"/>
          <w:szCs w:val="32"/>
        </w:rPr>
      </w:pPr>
      <w:bookmarkStart w:id="24" w:name="_Toc16063"/>
      <w:r>
        <w:rPr>
          <w:rFonts w:hint="eastAsia" w:ascii="Times New Roman" w:hAnsi="Times New Roman" w:eastAsia="黑体" w:cs="Times New Roman"/>
          <w:b w:val="0"/>
          <w:bCs/>
          <w:sz w:val="32"/>
          <w:szCs w:val="32"/>
        </w:rPr>
        <w:t>六</w:t>
      </w:r>
      <w:r>
        <w:rPr>
          <w:rFonts w:ascii="Times New Roman" w:hAnsi="Times New Roman" w:eastAsia="黑体" w:cs="Times New Roman"/>
          <w:b w:val="0"/>
          <w:bCs/>
          <w:sz w:val="32"/>
          <w:szCs w:val="32"/>
        </w:rPr>
        <w:t>、结论</w:t>
      </w:r>
      <w:bookmarkEnd w:id="24"/>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土地征收成片开发方案符合国民经济和社会发展规划、土地利用总体规划和专项规划，在土地利用总体规划确定的城镇建设用地范围内，已纳入国民经济和社会发展年度计划，符合部省规定的标准，做到了保护耕地、维护农民合法权益、节约集约用地、保护生态环境，能够促进经济社会可持续发展。</w:t>
      </w:r>
    </w:p>
    <w:p>
      <w:pPr>
        <w:pStyle w:val="2"/>
        <w:ind w:firstLine="480"/>
        <w:rPr>
          <w:sz w:val="18"/>
          <w:szCs w:val="18"/>
        </w:rPr>
        <w:sectPr>
          <w:footerReference r:id="rId9" w:type="default"/>
          <w:pgSz w:w="11906" w:h="16838"/>
          <w:pgMar w:top="1417" w:right="1134" w:bottom="1134" w:left="1417" w:header="851" w:footer="992" w:gutter="0"/>
          <w:pgNumType w:start="1"/>
          <w:cols w:space="720" w:num="1"/>
          <w:docGrid w:type="lines" w:linePitch="312" w:charSpace="0"/>
        </w:sectPr>
      </w:pPr>
      <w:r>
        <w:rPr>
          <w:rFonts w:asciiTheme="minorEastAsia" w:hAnsiTheme="minorEastAsia"/>
        </w:rPr>
        <w:br w:type="page"/>
      </w:r>
    </w:p>
    <w:p>
      <w:pPr>
        <w:widowControl/>
        <w:jc w:val="left"/>
        <w:rPr>
          <w:rFonts w:hint="eastAsia" w:ascii="Calibri" w:hAnsi="Calibri" w:eastAsia="宋体" w:cs="Times New Roman"/>
          <w:sz w:val="18"/>
          <w:szCs w:val="18"/>
          <w:lang w:eastAsia="zh-CN"/>
        </w:rPr>
      </w:pPr>
      <w:bookmarkStart w:id="25" w:name="_GoBack"/>
      <w:r>
        <w:rPr>
          <w:rFonts w:hint="eastAsia" w:ascii="Calibri" w:hAnsi="Calibri" w:eastAsia="宋体" w:cs="Times New Roman"/>
          <w:sz w:val="18"/>
          <w:szCs w:val="18"/>
          <w:lang w:eastAsia="zh-CN"/>
        </w:rPr>
        <w:drawing>
          <wp:inline distT="0" distB="0" distL="114300" distR="114300">
            <wp:extent cx="6117590" cy="8652510"/>
            <wp:effectExtent l="0" t="0" r="16510" b="15240"/>
            <wp:docPr id="2" name="图片 2" descr="01-成片开发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成片开发位置示意图"/>
                    <pic:cNvPicPr>
                      <a:picLocks noChangeAspect="1"/>
                    </pic:cNvPicPr>
                  </pic:nvPicPr>
                  <pic:blipFill>
                    <a:blip r:embed="rId12"/>
                    <a:stretch>
                      <a:fillRect/>
                    </a:stretch>
                  </pic:blipFill>
                  <pic:spPr>
                    <a:xfrm>
                      <a:off x="0" y="0"/>
                      <a:ext cx="6117590" cy="8652510"/>
                    </a:xfrm>
                    <a:prstGeom prst="rect">
                      <a:avLst/>
                    </a:prstGeom>
                  </pic:spPr>
                </pic:pic>
              </a:graphicData>
            </a:graphic>
          </wp:inline>
        </w:drawing>
      </w:r>
      <w:bookmarkEnd w:id="25"/>
    </w:p>
    <w:sectPr>
      <w:footerReference r:id="rId10" w:type="default"/>
      <w:pgSz w:w="11906" w:h="16838"/>
      <w:pgMar w:top="141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rPr>
                        <w:rFonts w:ascii="Times New Roman" w:hAnsi="Times New Roman" w:cs="Times New Roma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kZDAyMzVjNzkxODdlNTE1NGQyNDNmNWUxODI3ZTAifQ=="/>
  </w:docVars>
  <w:rsids>
    <w:rsidRoot w:val="00172A27"/>
    <w:rsid w:val="00002F70"/>
    <w:rsid w:val="0000762E"/>
    <w:rsid w:val="000143B3"/>
    <w:rsid w:val="00014B9D"/>
    <w:rsid w:val="0003520F"/>
    <w:rsid w:val="0005131C"/>
    <w:rsid w:val="00066571"/>
    <w:rsid w:val="00085794"/>
    <w:rsid w:val="000A62C6"/>
    <w:rsid w:val="000C1CE7"/>
    <w:rsid w:val="000D165B"/>
    <w:rsid w:val="0010379C"/>
    <w:rsid w:val="001468C3"/>
    <w:rsid w:val="00153212"/>
    <w:rsid w:val="00172A27"/>
    <w:rsid w:val="00180B2D"/>
    <w:rsid w:val="001916EF"/>
    <w:rsid w:val="001A2312"/>
    <w:rsid w:val="001B28FC"/>
    <w:rsid w:val="001D3012"/>
    <w:rsid w:val="001E367A"/>
    <w:rsid w:val="001F4217"/>
    <w:rsid w:val="00240660"/>
    <w:rsid w:val="00261EE8"/>
    <w:rsid w:val="00282A56"/>
    <w:rsid w:val="002A260A"/>
    <w:rsid w:val="002A57F9"/>
    <w:rsid w:val="002D0C85"/>
    <w:rsid w:val="002D10BE"/>
    <w:rsid w:val="002F0620"/>
    <w:rsid w:val="002F1F37"/>
    <w:rsid w:val="002F3CFC"/>
    <w:rsid w:val="003101D9"/>
    <w:rsid w:val="0031654D"/>
    <w:rsid w:val="00322A77"/>
    <w:rsid w:val="0035374D"/>
    <w:rsid w:val="003644EB"/>
    <w:rsid w:val="003A134C"/>
    <w:rsid w:val="003B6D8A"/>
    <w:rsid w:val="003C19AC"/>
    <w:rsid w:val="003C1D0D"/>
    <w:rsid w:val="003C3F7C"/>
    <w:rsid w:val="003D4F5D"/>
    <w:rsid w:val="003E3509"/>
    <w:rsid w:val="0040003B"/>
    <w:rsid w:val="00402453"/>
    <w:rsid w:val="00421587"/>
    <w:rsid w:val="004241E3"/>
    <w:rsid w:val="00432872"/>
    <w:rsid w:val="004A7E60"/>
    <w:rsid w:val="004B6A11"/>
    <w:rsid w:val="004B7E1C"/>
    <w:rsid w:val="00506426"/>
    <w:rsid w:val="00507639"/>
    <w:rsid w:val="00526172"/>
    <w:rsid w:val="00534138"/>
    <w:rsid w:val="00550758"/>
    <w:rsid w:val="00553B63"/>
    <w:rsid w:val="00557952"/>
    <w:rsid w:val="00572D55"/>
    <w:rsid w:val="005A4C5C"/>
    <w:rsid w:val="005B361B"/>
    <w:rsid w:val="005E3DBE"/>
    <w:rsid w:val="005F17E5"/>
    <w:rsid w:val="00604878"/>
    <w:rsid w:val="00610F65"/>
    <w:rsid w:val="00624A14"/>
    <w:rsid w:val="0065214A"/>
    <w:rsid w:val="006530DE"/>
    <w:rsid w:val="00660FD7"/>
    <w:rsid w:val="00661D72"/>
    <w:rsid w:val="00676E58"/>
    <w:rsid w:val="00682D09"/>
    <w:rsid w:val="006A6901"/>
    <w:rsid w:val="006E1087"/>
    <w:rsid w:val="006F4B04"/>
    <w:rsid w:val="006F5E16"/>
    <w:rsid w:val="006F6C5B"/>
    <w:rsid w:val="0072604C"/>
    <w:rsid w:val="007327F0"/>
    <w:rsid w:val="007402DC"/>
    <w:rsid w:val="00746060"/>
    <w:rsid w:val="00765FED"/>
    <w:rsid w:val="00772528"/>
    <w:rsid w:val="00772A9A"/>
    <w:rsid w:val="00783A70"/>
    <w:rsid w:val="00795732"/>
    <w:rsid w:val="007B12FC"/>
    <w:rsid w:val="007C49DB"/>
    <w:rsid w:val="007E7D5A"/>
    <w:rsid w:val="0081299C"/>
    <w:rsid w:val="00852756"/>
    <w:rsid w:val="008574BB"/>
    <w:rsid w:val="008679E9"/>
    <w:rsid w:val="00873960"/>
    <w:rsid w:val="00886A4F"/>
    <w:rsid w:val="00896277"/>
    <w:rsid w:val="00897DE4"/>
    <w:rsid w:val="008A0A8A"/>
    <w:rsid w:val="008B0A05"/>
    <w:rsid w:val="008B31E8"/>
    <w:rsid w:val="008B49F2"/>
    <w:rsid w:val="008C7FDD"/>
    <w:rsid w:val="008D4C60"/>
    <w:rsid w:val="008E2C90"/>
    <w:rsid w:val="00911DD3"/>
    <w:rsid w:val="00917AB9"/>
    <w:rsid w:val="0093350D"/>
    <w:rsid w:val="00955193"/>
    <w:rsid w:val="00955D72"/>
    <w:rsid w:val="00961C3F"/>
    <w:rsid w:val="00963930"/>
    <w:rsid w:val="00981449"/>
    <w:rsid w:val="0098643B"/>
    <w:rsid w:val="009B64C7"/>
    <w:rsid w:val="009C0E8D"/>
    <w:rsid w:val="009D35D7"/>
    <w:rsid w:val="009D53A2"/>
    <w:rsid w:val="00A068E7"/>
    <w:rsid w:val="00A44451"/>
    <w:rsid w:val="00A46205"/>
    <w:rsid w:val="00A62CFB"/>
    <w:rsid w:val="00A72BDB"/>
    <w:rsid w:val="00A87E05"/>
    <w:rsid w:val="00AA1189"/>
    <w:rsid w:val="00AB50B4"/>
    <w:rsid w:val="00AB6525"/>
    <w:rsid w:val="00AB7C57"/>
    <w:rsid w:val="00AC604D"/>
    <w:rsid w:val="00AE3E81"/>
    <w:rsid w:val="00B018ED"/>
    <w:rsid w:val="00BA2648"/>
    <w:rsid w:val="00BC0A03"/>
    <w:rsid w:val="00BC3054"/>
    <w:rsid w:val="00BD3765"/>
    <w:rsid w:val="00BD6E96"/>
    <w:rsid w:val="00BD7270"/>
    <w:rsid w:val="00BF1EC5"/>
    <w:rsid w:val="00C05780"/>
    <w:rsid w:val="00C254E5"/>
    <w:rsid w:val="00C41E62"/>
    <w:rsid w:val="00C42115"/>
    <w:rsid w:val="00CA086B"/>
    <w:rsid w:val="00CA57A4"/>
    <w:rsid w:val="00CD6F20"/>
    <w:rsid w:val="00CF1DBA"/>
    <w:rsid w:val="00D02C2D"/>
    <w:rsid w:val="00D21D8E"/>
    <w:rsid w:val="00D34268"/>
    <w:rsid w:val="00D35496"/>
    <w:rsid w:val="00D4589D"/>
    <w:rsid w:val="00D4737C"/>
    <w:rsid w:val="00D872E3"/>
    <w:rsid w:val="00DC1516"/>
    <w:rsid w:val="00DD3327"/>
    <w:rsid w:val="00E0465D"/>
    <w:rsid w:val="00E21D3B"/>
    <w:rsid w:val="00E231A5"/>
    <w:rsid w:val="00E41F1F"/>
    <w:rsid w:val="00E54032"/>
    <w:rsid w:val="00E5542D"/>
    <w:rsid w:val="00E57B20"/>
    <w:rsid w:val="00E66F28"/>
    <w:rsid w:val="00E67CBF"/>
    <w:rsid w:val="00E9653F"/>
    <w:rsid w:val="00EE1B31"/>
    <w:rsid w:val="00EF4F05"/>
    <w:rsid w:val="00F02134"/>
    <w:rsid w:val="00F25716"/>
    <w:rsid w:val="00F305FA"/>
    <w:rsid w:val="00F36A5C"/>
    <w:rsid w:val="00F46171"/>
    <w:rsid w:val="00F61B6B"/>
    <w:rsid w:val="00F8639F"/>
    <w:rsid w:val="00FF077E"/>
    <w:rsid w:val="00FF4A1E"/>
    <w:rsid w:val="01462137"/>
    <w:rsid w:val="019270DC"/>
    <w:rsid w:val="01DD16BC"/>
    <w:rsid w:val="0238697D"/>
    <w:rsid w:val="024402E9"/>
    <w:rsid w:val="027510EF"/>
    <w:rsid w:val="029806C9"/>
    <w:rsid w:val="02B5363B"/>
    <w:rsid w:val="0317747E"/>
    <w:rsid w:val="031B5C5A"/>
    <w:rsid w:val="03575D4B"/>
    <w:rsid w:val="03C16756"/>
    <w:rsid w:val="03CA4FF7"/>
    <w:rsid w:val="0481038F"/>
    <w:rsid w:val="04A26E3F"/>
    <w:rsid w:val="04E84E2C"/>
    <w:rsid w:val="05282148"/>
    <w:rsid w:val="05C43196"/>
    <w:rsid w:val="06053BFF"/>
    <w:rsid w:val="0626511C"/>
    <w:rsid w:val="068E02DA"/>
    <w:rsid w:val="06A674C8"/>
    <w:rsid w:val="06BD658F"/>
    <w:rsid w:val="06BF1205"/>
    <w:rsid w:val="06DF60F5"/>
    <w:rsid w:val="06FE6779"/>
    <w:rsid w:val="07605486"/>
    <w:rsid w:val="077E6AA6"/>
    <w:rsid w:val="079059D3"/>
    <w:rsid w:val="07E6582A"/>
    <w:rsid w:val="08594A92"/>
    <w:rsid w:val="087719E8"/>
    <w:rsid w:val="09334B70"/>
    <w:rsid w:val="09455482"/>
    <w:rsid w:val="09D35F9B"/>
    <w:rsid w:val="09E233D7"/>
    <w:rsid w:val="0A892BB2"/>
    <w:rsid w:val="0AF92E35"/>
    <w:rsid w:val="0B75127F"/>
    <w:rsid w:val="0B886508"/>
    <w:rsid w:val="0C2346FF"/>
    <w:rsid w:val="0C713A87"/>
    <w:rsid w:val="0CB36D43"/>
    <w:rsid w:val="0D27700F"/>
    <w:rsid w:val="0D3C3C1E"/>
    <w:rsid w:val="0D5120AF"/>
    <w:rsid w:val="0D8054ED"/>
    <w:rsid w:val="0DE666C8"/>
    <w:rsid w:val="0DFB5E2E"/>
    <w:rsid w:val="0F31474A"/>
    <w:rsid w:val="0F4D3C60"/>
    <w:rsid w:val="0F513719"/>
    <w:rsid w:val="0F724334"/>
    <w:rsid w:val="10FF47EA"/>
    <w:rsid w:val="11245E09"/>
    <w:rsid w:val="11AA0225"/>
    <w:rsid w:val="12E040DD"/>
    <w:rsid w:val="1311511E"/>
    <w:rsid w:val="13295B6E"/>
    <w:rsid w:val="137B1AEE"/>
    <w:rsid w:val="13A82AA4"/>
    <w:rsid w:val="14995FB1"/>
    <w:rsid w:val="14BF02AD"/>
    <w:rsid w:val="14CF4C7A"/>
    <w:rsid w:val="153A66BC"/>
    <w:rsid w:val="1570511B"/>
    <w:rsid w:val="15B60568"/>
    <w:rsid w:val="1601458C"/>
    <w:rsid w:val="16476757"/>
    <w:rsid w:val="16EE6B62"/>
    <w:rsid w:val="1710180D"/>
    <w:rsid w:val="17912C90"/>
    <w:rsid w:val="17A7732C"/>
    <w:rsid w:val="1860131D"/>
    <w:rsid w:val="19264D75"/>
    <w:rsid w:val="19F17E07"/>
    <w:rsid w:val="1AD51D7F"/>
    <w:rsid w:val="1B2027D5"/>
    <w:rsid w:val="1B982850"/>
    <w:rsid w:val="1BAD47D2"/>
    <w:rsid w:val="1BC65521"/>
    <w:rsid w:val="1C357DD8"/>
    <w:rsid w:val="1C4605ED"/>
    <w:rsid w:val="1C7519B3"/>
    <w:rsid w:val="1C7F1275"/>
    <w:rsid w:val="1C9408FA"/>
    <w:rsid w:val="1CF27F29"/>
    <w:rsid w:val="1D0A0009"/>
    <w:rsid w:val="1D124DC5"/>
    <w:rsid w:val="1D160E52"/>
    <w:rsid w:val="1DAF173A"/>
    <w:rsid w:val="1E103230"/>
    <w:rsid w:val="1E1C5387"/>
    <w:rsid w:val="1E3329F3"/>
    <w:rsid w:val="1E827F3E"/>
    <w:rsid w:val="1F3215AA"/>
    <w:rsid w:val="1F3F104F"/>
    <w:rsid w:val="2070591B"/>
    <w:rsid w:val="209A68E0"/>
    <w:rsid w:val="20EF574E"/>
    <w:rsid w:val="211711BE"/>
    <w:rsid w:val="232741D1"/>
    <w:rsid w:val="236D03FC"/>
    <w:rsid w:val="23AC1509"/>
    <w:rsid w:val="23E85AC3"/>
    <w:rsid w:val="240276D3"/>
    <w:rsid w:val="240F54A9"/>
    <w:rsid w:val="24215F3C"/>
    <w:rsid w:val="259A1EAA"/>
    <w:rsid w:val="25DC638D"/>
    <w:rsid w:val="27107E9E"/>
    <w:rsid w:val="27F719E7"/>
    <w:rsid w:val="2812227A"/>
    <w:rsid w:val="284309B0"/>
    <w:rsid w:val="28BE6F48"/>
    <w:rsid w:val="29066E10"/>
    <w:rsid w:val="296636EE"/>
    <w:rsid w:val="297D2871"/>
    <w:rsid w:val="29DA34F7"/>
    <w:rsid w:val="2A646D78"/>
    <w:rsid w:val="2A7F659C"/>
    <w:rsid w:val="2B2739C6"/>
    <w:rsid w:val="2B2D41DC"/>
    <w:rsid w:val="2B3C1528"/>
    <w:rsid w:val="2B422DE5"/>
    <w:rsid w:val="2B5F3C1D"/>
    <w:rsid w:val="2B8146AA"/>
    <w:rsid w:val="2BA63024"/>
    <w:rsid w:val="2BCF5476"/>
    <w:rsid w:val="2BED035B"/>
    <w:rsid w:val="2C6015D4"/>
    <w:rsid w:val="2C9B28BD"/>
    <w:rsid w:val="2CB12655"/>
    <w:rsid w:val="2CBA576A"/>
    <w:rsid w:val="2CE93DEF"/>
    <w:rsid w:val="2CEE5AD9"/>
    <w:rsid w:val="2D215FD5"/>
    <w:rsid w:val="2DA07946"/>
    <w:rsid w:val="2DE6101E"/>
    <w:rsid w:val="2DED540D"/>
    <w:rsid w:val="2E5360C6"/>
    <w:rsid w:val="2E5954A7"/>
    <w:rsid w:val="2E6269AB"/>
    <w:rsid w:val="2EE3283D"/>
    <w:rsid w:val="2EFF033A"/>
    <w:rsid w:val="2F2A1A48"/>
    <w:rsid w:val="2F37118F"/>
    <w:rsid w:val="2F723F93"/>
    <w:rsid w:val="304D0355"/>
    <w:rsid w:val="30644229"/>
    <w:rsid w:val="30651CBE"/>
    <w:rsid w:val="306A7E1A"/>
    <w:rsid w:val="30770D64"/>
    <w:rsid w:val="31316879"/>
    <w:rsid w:val="31711BA6"/>
    <w:rsid w:val="317813CE"/>
    <w:rsid w:val="31957B77"/>
    <w:rsid w:val="31D35A32"/>
    <w:rsid w:val="324A0B1B"/>
    <w:rsid w:val="325D2C87"/>
    <w:rsid w:val="32C56140"/>
    <w:rsid w:val="32FB67D3"/>
    <w:rsid w:val="33402523"/>
    <w:rsid w:val="339E305E"/>
    <w:rsid w:val="33BC540E"/>
    <w:rsid w:val="34352F93"/>
    <w:rsid w:val="345D0F88"/>
    <w:rsid w:val="34B208EA"/>
    <w:rsid w:val="34F43878"/>
    <w:rsid w:val="353C4CBD"/>
    <w:rsid w:val="35D51E4A"/>
    <w:rsid w:val="36F32C4F"/>
    <w:rsid w:val="37296BB6"/>
    <w:rsid w:val="377E6513"/>
    <w:rsid w:val="37BE0844"/>
    <w:rsid w:val="37CE7CAA"/>
    <w:rsid w:val="388D291C"/>
    <w:rsid w:val="38CF5A6D"/>
    <w:rsid w:val="38DE301E"/>
    <w:rsid w:val="39307218"/>
    <w:rsid w:val="39A65BCE"/>
    <w:rsid w:val="39AD1758"/>
    <w:rsid w:val="39EF1F64"/>
    <w:rsid w:val="3A0126C4"/>
    <w:rsid w:val="3AAC79AC"/>
    <w:rsid w:val="3AE2590E"/>
    <w:rsid w:val="3AF25195"/>
    <w:rsid w:val="3AFF73C0"/>
    <w:rsid w:val="3B0B1C87"/>
    <w:rsid w:val="3B4C36A2"/>
    <w:rsid w:val="3BAB6959"/>
    <w:rsid w:val="3BFD2166"/>
    <w:rsid w:val="3C001683"/>
    <w:rsid w:val="3C3627DD"/>
    <w:rsid w:val="3C9328B4"/>
    <w:rsid w:val="3CC029C8"/>
    <w:rsid w:val="3CD45C3C"/>
    <w:rsid w:val="3CDD3D19"/>
    <w:rsid w:val="3CF40319"/>
    <w:rsid w:val="3D137AD1"/>
    <w:rsid w:val="3D7C3A12"/>
    <w:rsid w:val="3DC42D42"/>
    <w:rsid w:val="3DD86E06"/>
    <w:rsid w:val="3E816876"/>
    <w:rsid w:val="3F293698"/>
    <w:rsid w:val="3F8C3BD4"/>
    <w:rsid w:val="41156761"/>
    <w:rsid w:val="418B1761"/>
    <w:rsid w:val="429A1DA4"/>
    <w:rsid w:val="42C944E1"/>
    <w:rsid w:val="42D3311D"/>
    <w:rsid w:val="43BE2AAF"/>
    <w:rsid w:val="440C2076"/>
    <w:rsid w:val="44E56313"/>
    <w:rsid w:val="4526152E"/>
    <w:rsid w:val="45E035D5"/>
    <w:rsid w:val="467B7A42"/>
    <w:rsid w:val="47015491"/>
    <w:rsid w:val="475C50E0"/>
    <w:rsid w:val="47675699"/>
    <w:rsid w:val="479F0317"/>
    <w:rsid w:val="47E61CD2"/>
    <w:rsid w:val="48565BCE"/>
    <w:rsid w:val="485D19E1"/>
    <w:rsid w:val="48717D68"/>
    <w:rsid w:val="48BB261A"/>
    <w:rsid w:val="48FD2C21"/>
    <w:rsid w:val="49997944"/>
    <w:rsid w:val="49DE1D68"/>
    <w:rsid w:val="4A087156"/>
    <w:rsid w:val="4AC37E35"/>
    <w:rsid w:val="4B446921"/>
    <w:rsid w:val="4B6B1D6B"/>
    <w:rsid w:val="4C1B40FC"/>
    <w:rsid w:val="4C3720D7"/>
    <w:rsid w:val="4C6E7486"/>
    <w:rsid w:val="4CB77D21"/>
    <w:rsid w:val="4D393F5F"/>
    <w:rsid w:val="4D571125"/>
    <w:rsid w:val="4D5A3CDA"/>
    <w:rsid w:val="4DD400B2"/>
    <w:rsid w:val="4EAA09C0"/>
    <w:rsid w:val="4F135E89"/>
    <w:rsid w:val="4F2E6B6E"/>
    <w:rsid w:val="4F611FA4"/>
    <w:rsid w:val="4F63227D"/>
    <w:rsid w:val="4F9B2317"/>
    <w:rsid w:val="4FA72C0C"/>
    <w:rsid w:val="50466AB7"/>
    <w:rsid w:val="50F976F7"/>
    <w:rsid w:val="51926A1B"/>
    <w:rsid w:val="52637A82"/>
    <w:rsid w:val="527B5387"/>
    <w:rsid w:val="52B4109F"/>
    <w:rsid w:val="53B362E0"/>
    <w:rsid w:val="53C1756D"/>
    <w:rsid w:val="544552E3"/>
    <w:rsid w:val="54BD026B"/>
    <w:rsid w:val="55C40EA0"/>
    <w:rsid w:val="5605680A"/>
    <w:rsid w:val="560C59C6"/>
    <w:rsid w:val="561B7063"/>
    <w:rsid w:val="567B3A1B"/>
    <w:rsid w:val="568E4CF4"/>
    <w:rsid w:val="56B90642"/>
    <w:rsid w:val="56DE0D16"/>
    <w:rsid w:val="56E85883"/>
    <w:rsid w:val="570047CB"/>
    <w:rsid w:val="5747714D"/>
    <w:rsid w:val="574F1755"/>
    <w:rsid w:val="576333FC"/>
    <w:rsid w:val="58BB10D6"/>
    <w:rsid w:val="58EF5E25"/>
    <w:rsid w:val="58FB53D7"/>
    <w:rsid w:val="591E58EA"/>
    <w:rsid w:val="59335F68"/>
    <w:rsid w:val="59F836A3"/>
    <w:rsid w:val="59FE4C74"/>
    <w:rsid w:val="5A866FF7"/>
    <w:rsid w:val="5AA82E65"/>
    <w:rsid w:val="5AFF28C5"/>
    <w:rsid w:val="5B222F7F"/>
    <w:rsid w:val="5BD234D5"/>
    <w:rsid w:val="5BFA46FF"/>
    <w:rsid w:val="5BFB4290"/>
    <w:rsid w:val="5C124E90"/>
    <w:rsid w:val="5C59780A"/>
    <w:rsid w:val="5C5B172B"/>
    <w:rsid w:val="5CD51098"/>
    <w:rsid w:val="5DB16EA6"/>
    <w:rsid w:val="5E133820"/>
    <w:rsid w:val="5E6700D9"/>
    <w:rsid w:val="5E816E27"/>
    <w:rsid w:val="5E817392"/>
    <w:rsid w:val="5F294BB2"/>
    <w:rsid w:val="5FB852B6"/>
    <w:rsid w:val="5FCB666D"/>
    <w:rsid w:val="605A1E8A"/>
    <w:rsid w:val="607E43A5"/>
    <w:rsid w:val="60C615B1"/>
    <w:rsid w:val="60D701B1"/>
    <w:rsid w:val="613D7279"/>
    <w:rsid w:val="61806B77"/>
    <w:rsid w:val="61857AB4"/>
    <w:rsid w:val="61A56B29"/>
    <w:rsid w:val="61F304FF"/>
    <w:rsid w:val="62457700"/>
    <w:rsid w:val="62464205"/>
    <w:rsid w:val="62AD4EB5"/>
    <w:rsid w:val="636E0BC5"/>
    <w:rsid w:val="63AF42C2"/>
    <w:rsid w:val="6403785B"/>
    <w:rsid w:val="642002C9"/>
    <w:rsid w:val="64285C42"/>
    <w:rsid w:val="646D0C78"/>
    <w:rsid w:val="64842DD7"/>
    <w:rsid w:val="652874E7"/>
    <w:rsid w:val="65CF467C"/>
    <w:rsid w:val="65F048D3"/>
    <w:rsid w:val="66134F01"/>
    <w:rsid w:val="663522BE"/>
    <w:rsid w:val="66417EBF"/>
    <w:rsid w:val="673373DE"/>
    <w:rsid w:val="67661A84"/>
    <w:rsid w:val="67696D2B"/>
    <w:rsid w:val="67AF71E8"/>
    <w:rsid w:val="67B83763"/>
    <w:rsid w:val="67DF2395"/>
    <w:rsid w:val="680815E0"/>
    <w:rsid w:val="681E603B"/>
    <w:rsid w:val="68243042"/>
    <w:rsid w:val="6842567C"/>
    <w:rsid w:val="684A4BDA"/>
    <w:rsid w:val="685D3400"/>
    <w:rsid w:val="68B04AF5"/>
    <w:rsid w:val="68E81692"/>
    <w:rsid w:val="690B7659"/>
    <w:rsid w:val="69AF31EE"/>
    <w:rsid w:val="69FB2508"/>
    <w:rsid w:val="6A4868BF"/>
    <w:rsid w:val="6A78244B"/>
    <w:rsid w:val="6AE62048"/>
    <w:rsid w:val="6B8E66B8"/>
    <w:rsid w:val="6BC7168B"/>
    <w:rsid w:val="6C746319"/>
    <w:rsid w:val="6C8C1389"/>
    <w:rsid w:val="6CC101D1"/>
    <w:rsid w:val="6CFB3AFF"/>
    <w:rsid w:val="6D823C28"/>
    <w:rsid w:val="6DAA5B5C"/>
    <w:rsid w:val="6DB83FA3"/>
    <w:rsid w:val="6DBC0F7A"/>
    <w:rsid w:val="6E2A554B"/>
    <w:rsid w:val="6F826253"/>
    <w:rsid w:val="6F8A067B"/>
    <w:rsid w:val="6FD13FED"/>
    <w:rsid w:val="702D77CF"/>
    <w:rsid w:val="70391A1E"/>
    <w:rsid w:val="703C4C55"/>
    <w:rsid w:val="703D64DE"/>
    <w:rsid w:val="70602B31"/>
    <w:rsid w:val="70A80E32"/>
    <w:rsid w:val="70E6799B"/>
    <w:rsid w:val="71167DAF"/>
    <w:rsid w:val="726C1C25"/>
    <w:rsid w:val="72C5056A"/>
    <w:rsid w:val="72CF6FB6"/>
    <w:rsid w:val="733653DE"/>
    <w:rsid w:val="736B7275"/>
    <w:rsid w:val="74102160"/>
    <w:rsid w:val="74FB6CD2"/>
    <w:rsid w:val="75C07C83"/>
    <w:rsid w:val="75D21F32"/>
    <w:rsid w:val="75E473F2"/>
    <w:rsid w:val="75F657F0"/>
    <w:rsid w:val="763D3EC5"/>
    <w:rsid w:val="76814E3F"/>
    <w:rsid w:val="76E91856"/>
    <w:rsid w:val="76F678F9"/>
    <w:rsid w:val="77904B71"/>
    <w:rsid w:val="77A76C57"/>
    <w:rsid w:val="77D46711"/>
    <w:rsid w:val="780C14A2"/>
    <w:rsid w:val="7843102C"/>
    <w:rsid w:val="787234B4"/>
    <w:rsid w:val="78D505C5"/>
    <w:rsid w:val="78DF2BF0"/>
    <w:rsid w:val="790319F0"/>
    <w:rsid w:val="7911327A"/>
    <w:rsid w:val="79565136"/>
    <w:rsid w:val="7A1F5A07"/>
    <w:rsid w:val="7A40657A"/>
    <w:rsid w:val="7A517160"/>
    <w:rsid w:val="7AAA606B"/>
    <w:rsid w:val="7B656A42"/>
    <w:rsid w:val="7B7934BC"/>
    <w:rsid w:val="7B7D6A07"/>
    <w:rsid w:val="7C040E6D"/>
    <w:rsid w:val="7C24753A"/>
    <w:rsid w:val="7C2A332A"/>
    <w:rsid w:val="7C4040FE"/>
    <w:rsid w:val="7C962B24"/>
    <w:rsid w:val="7C9C1A10"/>
    <w:rsid w:val="7CA20A94"/>
    <w:rsid w:val="7CA54866"/>
    <w:rsid w:val="7CB51E4D"/>
    <w:rsid w:val="7D2F1070"/>
    <w:rsid w:val="7D662C87"/>
    <w:rsid w:val="7DA96ED9"/>
    <w:rsid w:val="7E8E59D6"/>
    <w:rsid w:val="7EDE0D89"/>
    <w:rsid w:val="7EDE6852"/>
    <w:rsid w:val="7EEA05C4"/>
    <w:rsid w:val="7F2F744B"/>
    <w:rsid w:val="7F60731B"/>
    <w:rsid w:val="7FB1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7">
    <w:name w:val="heading 4"/>
    <w:basedOn w:val="1"/>
    <w:next w:val="8"/>
    <w:qFormat/>
    <w:uiPriority w:val="0"/>
    <w:pPr>
      <w:keepNext/>
      <w:keepLines/>
      <w:spacing w:beforeLines="100"/>
      <w:outlineLvl w:val="3"/>
    </w:pPr>
    <w:rPr>
      <w:rFonts w:ascii="Arial" w:hAnsi="Arial" w:eastAsia="黑体"/>
      <w:bCs/>
      <w:sz w:val="24"/>
      <w:szCs w:val="28"/>
    </w:rPr>
  </w:style>
  <w:style w:type="paragraph" w:styleId="10">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semiHidden/>
    <w:qFormat/>
    <w:uiPriority w:val="0"/>
    <w:pPr>
      <w:spacing w:line="360" w:lineRule="auto"/>
      <w:ind w:firstLine="480" w:firstLineChars="200"/>
    </w:pPr>
    <w:rPr>
      <w:sz w:val="24"/>
    </w:rPr>
  </w:style>
  <w:style w:type="paragraph" w:customStyle="1" w:styleId="8">
    <w:name w:val="0说明正文"/>
    <w:basedOn w:val="9"/>
    <w:qFormat/>
    <w:uiPriority w:val="0"/>
    <w:pPr>
      <w:spacing w:beforeLines="50" w:afterLines="50" w:line="240" w:lineRule="auto"/>
      <w:ind w:firstLine="200"/>
    </w:pPr>
    <w:rPr>
      <w:sz w:val="21"/>
    </w:rPr>
  </w:style>
  <w:style w:type="paragraph" w:customStyle="1" w:styleId="9">
    <w:name w:val="样式 正文文本缩进 + 首行缩进:  2 字符"/>
    <w:basedOn w:val="3"/>
    <w:qFormat/>
    <w:uiPriority w:val="0"/>
    <w:pPr>
      <w:ind w:firstLine="420"/>
    </w:pPr>
    <w:rPr>
      <w:rFonts w:cs="宋体"/>
      <w:szCs w:val="20"/>
    </w:rPr>
  </w:style>
  <w:style w:type="paragraph" w:styleId="11">
    <w:name w:val="annotation text"/>
    <w:basedOn w:val="1"/>
    <w:link w:val="30"/>
    <w:qFormat/>
    <w:uiPriority w:val="0"/>
    <w:pPr>
      <w:jc w:val="left"/>
    </w:pPr>
  </w:style>
  <w:style w:type="paragraph" w:styleId="12">
    <w:name w:val="Balloon Text"/>
    <w:basedOn w:val="1"/>
    <w:link w:val="97"/>
    <w:qFormat/>
    <w:uiPriority w:val="99"/>
    <w:rPr>
      <w:rFonts w:ascii="Times New Roman" w:hAnsi="Times New Roman" w:eastAsia="宋体" w:cs="Times New Roman"/>
      <w:sz w:val="18"/>
      <w:szCs w:val="18"/>
    </w:rPr>
  </w:style>
  <w:style w:type="paragraph" w:styleId="13">
    <w:name w:val="footer"/>
    <w:basedOn w:val="1"/>
    <w:link w:val="99"/>
    <w:qFormat/>
    <w:uiPriority w:val="99"/>
    <w:pPr>
      <w:tabs>
        <w:tab w:val="center" w:pos="4153"/>
        <w:tab w:val="right" w:pos="8306"/>
      </w:tabs>
      <w:snapToGrid w:val="0"/>
      <w:jc w:val="left"/>
    </w:pPr>
    <w:rPr>
      <w:sz w:val="18"/>
    </w:rPr>
  </w:style>
  <w:style w:type="paragraph" w:styleId="14">
    <w:name w:val="header"/>
    <w:basedOn w:val="1"/>
    <w:link w:val="9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jc w:val="left"/>
    </w:pPr>
    <w:rPr>
      <w:rFonts w:cs="Times New Roman"/>
      <w:kern w:val="0"/>
      <w:sz w:val="24"/>
    </w:rPr>
  </w:style>
  <w:style w:type="paragraph" w:styleId="18">
    <w:name w:val="annotation subject"/>
    <w:basedOn w:val="11"/>
    <w:next w:val="11"/>
    <w:link w:val="31"/>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color w:val="333333"/>
      <w:u w:val="none"/>
    </w:rPr>
  </w:style>
  <w:style w:type="character" w:styleId="24">
    <w:name w:val="Emphasis"/>
    <w:basedOn w:val="21"/>
    <w:qFormat/>
    <w:uiPriority w:val="0"/>
  </w:style>
  <w:style w:type="character" w:styleId="25">
    <w:name w:val="Hyperlink"/>
    <w:basedOn w:val="21"/>
    <w:qFormat/>
    <w:uiPriority w:val="99"/>
    <w:rPr>
      <w:color w:val="333333"/>
      <w:u w:val="none"/>
    </w:rPr>
  </w:style>
  <w:style w:type="character" w:styleId="26">
    <w:name w:val="annotation reference"/>
    <w:basedOn w:val="21"/>
    <w:qFormat/>
    <w:uiPriority w:val="0"/>
    <w:rPr>
      <w:sz w:val="21"/>
      <w:szCs w:val="21"/>
    </w:rPr>
  </w:style>
  <w:style w:type="character" w:customStyle="1" w:styleId="27">
    <w:name w:val="font21"/>
    <w:basedOn w:val="21"/>
    <w:qFormat/>
    <w:uiPriority w:val="0"/>
    <w:rPr>
      <w:rFonts w:hint="default" w:ascii="Times New Roman" w:hAnsi="Times New Roman" w:cs="Times New Roman"/>
      <w:color w:val="000000"/>
      <w:sz w:val="21"/>
      <w:szCs w:val="21"/>
      <w:u w:val="none"/>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批注文字 字符"/>
    <w:basedOn w:val="21"/>
    <w:link w:val="11"/>
    <w:qFormat/>
    <w:uiPriority w:val="0"/>
    <w:rPr>
      <w:rFonts w:asciiTheme="minorHAnsi" w:hAnsiTheme="minorHAnsi" w:eastAsiaTheme="minorEastAsia" w:cstheme="minorBidi"/>
      <w:kern w:val="2"/>
      <w:sz w:val="21"/>
      <w:szCs w:val="24"/>
    </w:rPr>
  </w:style>
  <w:style w:type="character" w:customStyle="1" w:styleId="31">
    <w:name w:val="批注主题 字符"/>
    <w:basedOn w:val="30"/>
    <w:link w:val="18"/>
    <w:qFormat/>
    <w:uiPriority w:val="0"/>
    <w:rPr>
      <w:rFonts w:asciiTheme="minorHAnsi" w:hAnsiTheme="minorHAnsi" w:eastAsiaTheme="minorEastAsia" w:cstheme="minorBidi"/>
      <w:b/>
      <w:bCs/>
      <w:kern w:val="2"/>
      <w:sz w:val="21"/>
      <w:szCs w:val="24"/>
    </w:rPr>
  </w:style>
  <w:style w:type="character" w:customStyle="1" w:styleId="32">
    <w:name w:val="NormalCharacter"/>
    <w:qFormat/>
    <w:uiPriority w:val="0"/>
  </w:style>
  <w:style w:type="character" w:customStyle="1" w:styleId="33">
    <w:name w:val="hs1"/>
    <w:basedOn w:val="21"/>
    <w:qFormat/>
    <w:uiPriority w:val="0"/>
    <w:rPr>
      <w:shd w:val="clear" w:color="auto" w:fill="D4D4D4"/>
    </w:rPr>
  </w:style>
  <w:style w:type="character" w:customStyle="1" w:styleId="34">
    <w:name w:val="sp04"/>
    <w:basedOn w:val="21"/>
    <w:qFormat/>
    <w:uiPriority w:val="0"/>
  </w:style>
  <w:style w:type="character" w:customStyle="1" w:styleId="35">
    <w:name w:val="pic-txt"/>
    <w:basedOn w:val="21"/>
    <w:qFormat/>
    <w:uiPriority w:val="0"/>
  </w:style>
  <w:style w:type="character" w:customStyle="1" w:styleId="36">
    <w:name w:val="pic-txt1"/>
    <w:basedOn w:val="21"/>
    <w:qFormat/>
    <w:uiPriority w:val="0"/>
  </w:style>
  <w:style w:type="character" w:customStyle="1" w:styleId="37">
    <w:name w:val="pic-txt2"/>
    <w:basedOn w:val="21"/>
    <w:qFormat/>
    <w:uiPriority w:val="0"/>
  </w:style>
  <w:style w:type="character" w:customStyle="1" w:styleId="38">
    <w:name w:val="pic-txt3"/>
    <w:basedOn w:val="21"/>
    <w:qFormat/>
    <w:uiPriority w:val="0"/>
  </w:style>
  <w:style w:type="character" w:customStyle="1" w:styleId="39">
    <w:name w:val="red"/>
    <w:basedOn w:val="21"/>
    <w:qFormat/>
    <w:uiPriority w:val="0"/>
    <w:rPr>
      <w:color w:val="FF0000"/>
    </w:rPr>
  </w:style>
  <w:style w:type="character" w:customStyle="1" w:styleId="40">
    <w:name w:val="zh"/>
    <w:basedOn w:val="21"/>
    <w:qFormat/>
    <w:uiPriority w:val="0"/>
    <w:rPr>
      <w:color w:val="747474"/>
      <w:sz w:val="18"/>
      <w:szCs w:val="18"/>
      <w:bdr w:val="single" w:color="DBDBDB" w:sz="6" w:space="0"/>
      <w:shd w:val="clear" w:color="auto" w:fill="FFFFFF"/>
    </w:rPr>
  </w:style>
  <w:style w:type="character" w:customStyle="1" w:styleId="41">
    <w:name w:val="mm"/>
    <w:basedOn w:val="21"/>
    <w:qFormat/>
    <w:uiPriority w:val="0"/>
    <w:rPr>
      <w:color w:val="747474"/>
      <w:sz w:val="18"/>
      <w:szCs w:val="18"/>
      <w:bdr w:val="single" w:color="DBDBDB" w:sz="6" w:space="0"/>
      <w:shd w:val="clear" w:color="auto" w:fill="FFFFFF"/>
    </w:rPr>
  </w:style>
  <w:style w:type="character" w:customStyle="1" w:styleId="42">
    <w:name w:val="ic02"/>
    <w:basedOn w:val="21"/>
    <w:qFormat/>
    <w:uiPriority w:val="0"/>
  </w:style>
  <w:style w:type="character" w:customStyle="1" w:styleId="43">
    <w:name w:val="icon01"/>
    <w:basedOn w:val="21"/>
    <w:qFormat/>
    <w:uiPriority w:val="0"/>
  </w:style>
  <w:style w:type="character" w:customStyle="1" w:styleId="44">
    <w:name w:val="icon011"/>
    <w:basedOn w:val="21"/>
    <w:qFormat/>
    <w:uiPriority w:val="0"/>
  </w:style>
  <w:style w:type="character" w:customStyle="1" w:styleId="45">
    <w:name w:val="icon012"/>
    <w:basedOn w:val="21"/>
    <w:qFormat/>
    <w:uiPriority w:val="0"/>
  </w:style>
  <w:style w:type="character" w:customStyle="1" w:styleId="46">
    <w:name w:val="icon013"/>
    <w:basedOn w:val="21"/>
    <w:qFormat/>
    <w:uiPriority w:val="0"/>
  </w:style>
  <w:style w:type="character" w:customStyle="1" w:styleId="47">
    <w:name w:val="icon02"/>
    <w:basedOn w:val="21"/>
    <w:qFormat/>
    <w:uiPriority w:val="0"/>
  </w:style>
  <w:style w:type="character" w:customStyle="1" w:styleId="48">
    <w:name w:val="icon021"/>
    <w:basedOn w:val="21"/>
    <w:qFormat/>
    <w:uiPriority w:val="0"/>
  </w:style>
  <w:style w:type="character" w:customStyle="1" w:styleId="49">
    <w:name w:val="icon022"/>
    <w:basedOn w:val="21"/>
    <w:qFormat/>
    <w:uiPriority w:val="0"/>
  </w:style>
  <w:style w:type="character" w:customStyle="1" w:styleId="50">
    <w:name w:val="icon023"/>
    <w:basedOn w:val="21"/>
    <w:qFormat/>
    <w:uiPriority w:val="0"/>
  </w:style>
  <w:style w:type="character" w:customStyle="1" w:styleId="51">
    <w:name w:val="icon03"/>
    <w:basedOn w:val="21"/>
    <w:qFormat/>
    <w:uiPriority w:val="0"/>
  </w:style>
  <w:style w:type="character" w:customStyle="1" w:styleId="52">
    <w:name w:val="icon031"/>
    <w:basedOn w:val="21"/>
    <w:qFormat/>
    <w:uiPriority w:val="0"/>
  </w:style>
  <w:style w:type="character" w:customStyle="1" w:styleId="53">
    <w:name w:val="icon032"/>
    <w:basedOn w:val="21"/>
    <w:qFormat/>
    <w:uiPriority w:val="0"/>
  </w:style>
  <w:style w:type="character" w:customStyle="1" w:styleId="54">
    <w:name w:val="icon033"/>
    <w:basedOn w:val="21"/>
    <w:qFormat/>
    <w:uiPriority w:val="0"/>
  </w:style>
  <w:style w:type="character" w:customStyle="1" w:styleId="55">
    <w:name w:val="icon05"/>
    <w:basedOn w:val="21"/>
    <w:qFormat/>
    <w:uiPriority w:val="0"/>
  </w:style>
  <w:style w:type="character" w:customStyle="1" w:styleId="56">
    <w:name w:val="icon051"/>
    <w:basedOn w:val="21"/>
    <w:qFormat/>
    <w:uiPriority w:val="0"/>
  </w:style>
  <w:style w:type="character" w:customStyle="1" w:styleId="57">
    <w:name w:val="icon052"/>
    <w:basedOn w:val="21"/>
    <w:qFormat/>
    <w:uiPriority w:val="0"/>
  </w:style>
  <w:style w:type="character" w:customStyle="1" w:styleId="58">
    <w:name w:val="icon04"/>
    <w:basedOn w:val="21"/>
    <w:qFormat/>
    <w:uiPriority w:val="0"/>
  </w:style>
  <w:style w:type="character" w:customStyle="1" w:styleId="59">
    <w:name w:val="icon041"/>
    <w:basedOn w:val="21"/>
    <w:qFormat/>
    <w:uiPriority w:val="0"/>
  </w:style>
  <w:style w:type="character" w:customStyle="1" w:styleId="60">
    <w:name w:val="icon042"/>
    <w:basedOn w:val="21"/>
    <w:qFormat/>
    <w:uiPriority w:val="0"/>
  </w:style>
  <w:style w:type="character" w:customStyle="1" w:styleId="61">
    <w:name w:val="nr"/>
    <w:basedOn w:val="21"/>
    <w:qFormat/>
    <w:uiPriority w:val="0"/>
    <w:rPr>
      <w:color w:val="666666"/>
      <w:u w:val="none"/>
      <w:shd w:val="clear" w:color="auto" w:fill="F3F3F3"/>
    </w:rPr>
  </w:style>
  <w:style w:type="character" w:customStyle="1" w:styleId="62">
    <w:name w:val="org"/>
    <w:basedOn w:val="21"/>
    <w:qFormat/>
    <w:uiPriority w:val="0"/>
    <w:rPr>
      <w:shd w:val="clear" w:color="auto" w:fill="FF9138"/>
    </w:rPr>
  </w:style>
  <w:style w:type="character" w:customStyle="1" w:styleId="63">
    <w:name w:val="ic01"/>
    <w:basedOn w:val="21"/>
    <w:qFormat/>
    <w:uiPriority w:val="0"/>
  </w:style>
  <w:style w:type="character" w:customStyle="1" w:styleId="64">
    <w:name w:val="qz_icon01"/>
    <w:basedOn w:val="21"/>
    <w:qFormat/>
    <w:uiPriority w:val="0"/>
  </w:style>
  <w:style w:type="character" w:customStyle="1" w:styleId="65">
    <w:name w:val="qz_icon02"/>
    <w:basedOn w:val="21"/>
    <w:qFormat/>
    <w:uiPriority w:val="0"/>
  </w:style>
  <w:style w:type="character" w:customStyle="1" w:styleId="66">
    <w:name w:val="time"/>
    <w:basedOn w:val="21"/>
    <w:qFormat/>
    <w:uiPriority w:val="0"/>
    <w:rPr>
      <w:color w:val="FFFFFF"/>
      <w:sz w:val="18"/>
      <w:szCs w:val="18"/>
      <w:shd w:val="clear" w:color="auto" w:fill="82CFFF"/>
    </w:rPr>
  </w:style>
  <w:style w:type="character" w:customStyle="1" w:styleId="67">
    <w:name w:val="under"/>
    <w:basedOn w:val="21"/>
    <w:qFormat/>
    <w:uiPriority w:val="0"/>
    <w:rPr>
      <w:color w:val="FFFFFF"/>
    </w:rPr>
  </w:style>
  <w:style w:type="character" w:customStyle="1" w:styleId="68">
    <w:name w:val="hs2"/>
    <w:basedOn w:val="21"/>
    <w:qFormat/>
    <w:uiPriority w:val="0"/>
    <w:rPr>
      <w:color w:val="999999"/>
    </w:rPr>
  </w:style>
  <w:style w:type="character" w:customStyle="1" w:styleId="69">
    <w:name w:val="sp01"/>
    <w:basedOn w:val="21"/>
    <w:qFormat/>
    <w:uiPriority w:val="0"/>
  </w:style>
  <w:style w:type="character" w:customStyle="1" w:styleId="70">
    <w:name w:val="sp03"/>
    <w:basedOn w:val="21"/>
    <w:qFormat/>
    <w:uiPriority w:val="0"/>
  </w:style>
  <w:style w:type="character" w:customStyle="1" w:styleId="71">
    <w:name w:val="sp02"/>
    <w:basedOn w:val="21"/>
    <w:qFormat/>
    <w:uiPriority w:val="0"/>
  </w:style>
  <w:style w:type="character" w:customStyle="1" w:styleId="72">
    <w:name w:val="blue1"/>
    <w:basedOn w:val="21"/>
    <w:qFormat/>
    <w:uiPriority w:val="0"/>
    <w:rPr>
      <w:color w:val="444CCC"/>
      <w:bdr w:val="single" w:color="444CCC" w:sz="6" w:space="0"/>
    </w:rPr>
  </w:style>
  <w:style w:type="character" w:customStyle="1" w:styleId="73">
    <w:name w:val="red4"/>
    <w:basedOn w:val="21"/>
    <w:qFormat/>
    <w:uiPriority w:val="0"/>
    <w:rPr>
      <w:color w:val="FF0000"/>
    </w:rPr>
  </w:style>
  <w:style w:type="character" w:customStyle="1" w:styleId="74">
    <w:name w:val="icon0110"/>
    <w:basedOn w:val="21"/>
    <w:qFormat/>
    <w:uiPriority w:val="0"/>
  </w:style>
  <w:style w:type="character" w:customStyle="1" w:styleId="75">
    <w:name w:val="icon0111"/>
    <w:basedOn w:val="21"/>
    <w:qFormat/>
    <w:uiPriority w:val="0"/>
  </w:style>
  <w:style w:type="character" w:customStyle="1" w:styleId="76">
    <w:name w:val="icon0112"/>
    <w:basedOn w:val="21"/>
    <w:qFormat/>
    <w:uiPriority w:val="0"/>
  </w:style>
  <w:style w:type="character" w:customStyle="1" w:styleId="77">
    <w:name w:val="icon0113"/>
    <w:basedOn w:val="21"/>
    <w:qFormat/>
    <w:uiPriority w:val="0"/>
  </w:style>
  <w:style w:type="character" w:customStyle="1" w:styleId="78">
    <w:name w:val="icon024"/>
    <w:basedOn w:val="21"/>
    <w:qFormat/>
    <w:uiPriority w:val="0"/>
  </w:style>
  <w:style w:type="character" w:customStyle="1" w:styleId="79">
    <w:name w:val="icon025"/>
    <w:basedOn w:val="21"/>
    <w:qFormat/>
    <w:uiPriority w:val="0"/>
  </w:style>
  <w:style w:type="character" w:customStyle="1" w:styleId="80">
    <w:name w:val="icon026"/>
    <w:basedOn w:val="21"/>
    <w:qFormat/>
    <w:uiPriority w:val="0"/>
  </w:style>
  <w:style w:type="character" w:customStyle="1" w:styleId="81">
    <w:name w:val="icon034"/>
    <w:basedOn w:val="21"/>
    <w:qFormat/>
    <w:uiPriority w:val="0"/>
  </w:style>
  <w:style w:type="character" w:customStyle="1" w:styleId="82">
    <w:name w:val="icon035"/>
    <w:basedOn w:val="21"/>
    <w:qFormat/>
    <w:uiPriority w:val="0"/>
  </w:style>
  <w:style w:type="character" w:customStyle="1" w:styleId="83">
    <w:name w:val="icon036"/>
    <w:basedOn w:val="21"/>
    <w:qFormat/>
    <w:uiPriority w:val="0"/>
  </w:style>
  <w:style w:type="character" w:customStyle="1" w:styleId="84">
    <w:name w:val="icon043"/>
    <w:basedOn w:val="21"/>
    <w:qFormat/>
    <w:uiPriority w:val="0"/>
  </w:style>
  <w:style w:type="character" w:customStyle="1" w:styleId="85">
    <w:name w:val="icon044"/>
    <w:basedOn w:val="21"/>
    <w:qFormat/>
    <w:uiPriority w:val="0"/>
  </w:style>
  <w:style w:type="character" w:customStyle="1" w:styleId="86">
    <w:name w:val="icon053"/>
    <w:basedOn w:val="21"/>
    <w:qFormat/>
    <w:uiPriority w:val="0"/>
  </w:style>
  <w:style w:type="character" w:customStyle="1" w:styleId="87">
    <w:name w:val="icon054"/>
    <w:basedOn w:val="21"/>
    <w:qFormat/>
    <w:uiPriority w:val="0"/>
  </w:style>
  <w:style w:type="character" w:customStyle="1" w:styleId="88">
    <w:name w:val="org1"/>
    <w:basedOn w:val="21"/>
    <w:qFormat/>
    <w:uiPriority w:val="0"/>
    <w:rPr>
      <w:shd w:val="clear" w:color="auto" w:fill="FF9138"/>
    </w:rPr>
  </w:style>
  <w:style w:type="character" w:customStyle="1" w:styleId="89">
    <w:name w:val="hs11"/>
    <w:basedOn w:val="21"/>
    <w:qFormat/>
    <w:uiPriority w:val="0"/>
    <w:rPr>
      <w:shd w:val="clear" w:color="auto" w:fill="D4D4D4"/>
    </w:rPr>
  </w:style>
  <w:style w:type="character" w:customStyle="1" w:styleId="90">
    <w:name w:val="icon015"/>
    <w:basedOn w:val="21"/>
    <w:qFormat/>
    <w:uiPriority w:val="0"/>
  </w:style>
  <w:style w:type="character" w:customStyle="1" w:styleId="91">
    <w:name w:val="icon016"/>
    <w:basedOn w:val="21"/>
    <w:qFormat/>
    <w:uiPriority w:val="0"/>
  </w:style>
  <w:style w:type="character" w:customStyle="1" w:styleId="92">
    <w:name w:val="icon017"/>
    <w:basedOn w:val="21"/>
    <w:qFormat/>
    <w:uiPriority w:val="0"/>
  </w:style>
  <w:style w:type="character" w:customStyle="1" w:styleId="93">
    <w:name w:val="icon018"/>
    <w:basedOn w:val="21"/>
    <w:qFormat/>
    <w:uiPriority w:val="0"/>
  </w:style>
  <w:style w:type="character" w:customStyle="1" w:styleId="94">
    <w:name w:val="icon027"/>
    <w:basedOn w:val="21"/>
    <w:qFormat/>
    <w:uiPriority w:val="0"/>
  </w:style>
  <w:style w:type="character" w:customStyle="1" w:styleId="95">
    <w:name w:val="icon019"/>
    <w:basedOn w:val="21"/>
    <w:qFormat/>
    <w:uiPriority w:val="0"/>
  </w:style>
  <w:style w:type="character" w:customStyle="1" w:styleId="96">
    <w:name w:val="font11"/>
    <w:basedOn w:val="21"/>
    <w:qFormat/>
    <w:uiPriority w:val="0"/>
    <w:rPr>
      <w:rFonts w:hint="default" w:ascii="Times New Roman" w:hAnsi="Times New Roman" w:cs="Times New Roman"/>
      <w:color w:val="000000"/>
      <w:sz w:val="24"/>
      <w:szCs w:val="24"/>
      <w:u w:val="none"/>
    </w:rPr>
  </w:style>
  <w:style w:type="character" w:customStyle="1" w:styleId="97">
    <w:name w:val="批注框文本 字符"/>
    <w:link w:val="12"/>
    <w:qFormat/>
    <w:uiPriority w:val="99"/>
    <w:rPr>
      <w:kern w:val="2"/>
      <w:sz w:val="18"/>
      <w:szCs w:val="18"/>
    </w:rPr>
  </w:style>
  <w:style w:type="character" w:customStyle="1" w:styleId="98">
    <w:name w:val="页眉 字符1"/>
    <w:basedOn w:val="21"/>
    <w:link w:val="14"/>
    <w:qFormat/>
    <w:uiPriority w:val="99"/>
    <w:rPr>
      <w:rFonts w:asciiTheme="minorHAnsi" w:hAnsiTheme="minorHAnsi" w:eastAsiaTheme="minorEastAsia" w:cstheme="minorBidi"/>
      <w:kern w:val="2"/>
      <w:sz w:val="18"/>
      <w:szCs w:val="18"/>
    </w:rPr>
  </w:style>
  <w:style w:type="character" w:customStyle="1" w:styleId="99">
    <w:name w:val="页脚 字符1"/>
    <w:basedOn w:val="21"/>
    <w:link w:val="13"/>
    <w:qFormat/>
    <w:uiPriority w:val="99"/>
    <w:rPr>
      <w:rFonts w:asciiTheme="minorHAnsi" w:hAnsiTheme="minorHAnsi" w:eastAsiaTheme="minorEastAsia" w:cstheme="minorBidi"/>
      <w:kern w:val="2"/>
      <w:sz w:val="18"/>
      <w:szCs w:val="24"/>
    </w:rPr>
  </w:style>
  <w:style w:type="character" w:customStyle="1" w:styleId="100">
    <w:name w:val="页脚 字符"/>
    <w:qFormat/>
    <w:uiPriority w:val="99"/>
    <w:rPr>
      <w:sz w:val="18"/>
      <w:szCs w:val="18"/>
    </w:rPr>
  </w:style>
  <w:style w:type="character" w:customStyle="1" w:styleId="101">
    <w:name w:val="页眉 字符"/>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1636</Words>
  <Characters>1807</Characters>
  <Lines>18</Lines>
  <Paragraphs>5</Paragraphs>
  <TotalTime>1</TotalTime>
  <ScaleCrop>false</ScaleCrop>
  <LinksUpToDate>false</LinksUpToDate>
  <CharactersWithSpaces>1850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2022-10-17T09:01:00Z</dcterms:created>
  <dc:creator>Administrator</dc:creator>
  <cp:lastModifiedBy>一骑绝尘</cp:lastModifiedBy>
  <cp:lastPrinted>2021-04-27T03:22:00Z</cp:lastPrinted>
  <dcterms:modified xsi:type="dcterms:W3CDTF">2022-10-29T00:51:45Z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6E73B9410721463EBF3D38F160467691</vt:lpwstr>
  </property>
</Properties>
</file>