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9FB88">
      <w:pPr>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2025年泰宁县高素质农民培育（农机化专业）项目</w:t>
      </w:r>
    </w:p>
    <w:p w14:paraId="5090A8DE">
      <w:pPr>
        <w:jc w:val="center"/>
        <w:rPr>
          <w:rFonts w:hint="default" w:ascii="宋体" w:hAnsi="宋体" w:eastAsia="宋体" w:cs="宋体"/>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竞争性谈判公告</w:t>
      </w:r>
    </w:p>
    <w:p w14:paraId="19EA9090">
      <w:pPr>
        <w:spacing w:line="360" w:lineRule="auto"/>
        <w:ind w:firstLine="96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泰宁县农业机械推广中心已根据相关法律法规，经相应程序确定采用竞争性谈判方式组织2025年泰宁县高素质农民培育（农机化专业）项目 项目（以下简称：“本项目”）的采购活动， 现欢迎国内合格的供应商前来参加。本项目由采购人委托中宏源建设管理有限公司开展竞争性谈判活动</w:t>
      </w:r>
      <w:bookmarkStart w:id="1" w:name="_GoBack"/>
      <w:bookmarkEnd w:id="1"/>
      <w:r>
        <w:rPr>
          <w:rFonts w:hint="eastAsia" w:ascii="宋体" w:hAnsi="宋体" w:eastAsia="宋体" w:cs="宋体"/>
          <w:color w:val="auto"/>
          <w:sz w:val="24"/>
          <w:szCs w:val="24"/>
          <w:highlight w:val="none"/>
          <w:lang w:val="en-US" w:eastAsia="zh-CN" w:bidi="ar-SA"/>
        </w:rPr>
        <w:t>。</w:t>
      </w:r>
    </w:p>
    <w:p w14:paraId="6BF3DED7">
      <w:pPr>
        <w:spacing w:line="360" w:lineRule="auto"/>
        <w:ind w:firstLine="480"/>
        <w:outlineLvl w:val="2"/>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1.项目名称： 2025年泰宁县高素质农民培育（农机化专业）项目</w:t>
      </w:r>
    </w:p>
    <w:p w14:paraId="1D06DCA8">
      <w:pPr>
        <w:spacing w:line="360" w:lineRule="auto"/>
        <w:ind w:firstLine="480"/>
        <w:outlineLvl w:val="2"/>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2.项目编号： ZHYJS【2025】TNCG010号</w:t>
      </w:r>
    </w:p>
    <w:p w14:paraId="2756B78A">
      <w:pPr>
        <w:spacing w:line="360" w:lineRule="auto"/>
        <w:ind w:firstLine="480"/>
        <w:outlineLvl w:val="2"/>
        <w:rPr>
          <w:rFonts w:hint="default"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3.采购内容及要求：</w:t>
      </w:r>
    </w:p>
    <w:p w14:paraId="3B9D2114">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采购包1：</w:t>
      </w:r>
    </w:p>
    <w:p w14:paraId="12D77977">
      <w:pPr>
        <w:spacing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采购包预算金额（元）:275000.00</w:t>
      </w:r>
    </w:p>
    <w:p w14:paraId="1DAC93E8">
      <w:pPr>
        <w:spacing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采购包最高限价（元）:275000.00</w:t>
      </w:r>
    </w:p>
    <w:p w14:paraId="6E7EAFE2">
      <w:pPr>
        <w:spacing w:line="360" w:lineRule="auto"/>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采购包保证金金额（元）: 2700.00</w:t>
      </w:r>
    </w:p>
    <w:tbl>
      <w:tblPr>
        <w:tblStyle w:val="2"/>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105"/>
        <w:gridCol w:w="1260"/>
        <w:gridCol w:w="1198"/>
        <w:gridCol w:w="1369"/>
        <w:gridCol w:w="1473"/>
        <w:gridCol w:w="1153"/>
      </w:tblGrid>
      <w:tr w14:paraId="69A8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62" w:type="dxa"/>
            <w:tcBorders>
              <w:top w:val="single" w:color="auto" w:sz="4" w:space="0"/>
              <w:left w:val="single" w:color="auto" w:sz="4" w:space="0"/>
              <w:bottom w:val="single" w:color="auto" w:sz="4" w:space="0"/>
              <w:right w:val="single" w:color="auto" w:sz="4" w:space="0"/>
            </w:tcBorders>
            <w:vAlign w:val="center"/>
          </w:tcPr>
          <w:p w14:paraId="17D1C9D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品目号</w:t>
            </w:r>
          </w:p>
        </w:tc>
        <w:tc>
          <w:tcPr>
            <w:tcW w:w="2105" w:type="dxa"/>
            <w:tcBorders>
              <w:top w:val="single" w:color="auto" w:sz="4" w:space="0"/>
              <w:left w:val="single" w:color="auto" w:sz="4" w:space="0"/>
              <w:bottom w:val="single" w:color="auto" w:sz="4" w:space="0"/>
              <w:right w:val="single" w:color="auto" w:sz="4" w:space="0"/>
            </w:tcBorders>
            <w:vAlign w:val="center"/>
          </w:tcPr>
          <w:p w14:paraId="5BA6BE5A">
            <w:pPr>
              <w:keepNext w:val="0"/>
              <w:keepLines w:val="0"/>
              <w:pageBreakBefore w:val="0"/>
              <w:widowControl/>
              <w:kinsoku/>
              <w:wordWrap/>
              <w:overflowPunct/>
              <w:topLinePunct w:val="0"/>
              <w:autoSpaceDE/>
              <w:autoSpaceDN/>
              <w:bidi w:val="0"/>
              <w:adjustRightInd/>
              <w:snapToGrid/>
              <w:spacing w:line="288" w:lineRule="auto"/>
              <w:ind w:left="-63" w:leftChars="-30" w:right="-63" w:rightChars="-3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w:t>
            </w:r>
          </w:p>
        </w:tc>
        <w:tc>
          <w:tcPr>
            <w:tcW w:w="1260" w:type="dxa"/>
            <w:tcBorders>
              <w:top w:val="single" w:color="auto" w:sz="4" w:space="0"/>
              <w:left w:val="single" w:color="auto" w:sz="4" w:space="0"/>
              <w:bottom w:val="single" w:color="auto" w:sz="4" w:space="0"/>
              <w:right w:val="single" w:color="auto" w:sz="4" w:space="0"/>
            </w:tcBorders>
            <w:vAlign w:val="center"/>
          </w:tcPr>
          <w:p w14:paraId="6FA64BB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培训人次</w:t>
            </w:r>
          </w:p>
        </w:tc>
        <w:tc>
          <w:tcPr>
            <w:tcW w:w="1198" w:type="dxa"/>
            <w:tcBorders>
              <w:top w:val="single" w:color="auto" w:sz="4" w:space="0"/>
              <w:left w:val="single" w:color="auto" w:sz="4" w:space="0"/>
              <w:bottom w:val="single" w:color="auto" w:sz="4" w:space="0"/>
              <w:right w:val="single" w:color="auto" w:sz="4" w:space="0"/>
            </w:tcBorders>
            <w:vAlign w:val="center"/>
          </w:tcPr>
          <w:p w14:paraId="4D02FB0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培训天数</w:t>
            </w:r>
          </w:p>
        </w:tc>
        <w:tc>
          <w:tcPr>
            <w:tcW w:w="1369" w:type="dxa"/>
            <w:tcBorders>
              <w:top w:val="single" w:color="auto" w:sz="4" w:space="0"/>
              <w:left w:val="single" w:color="auto" w:sz="4" w:space="0"/>
              <w:bottom w:val="single" w:color="auto" w:sz="4" w:space="0"/>
              <w:right w:val="single" w:color="auto" w:sz="4" w:space="0"/>
            </w:tcBorders>
            <w:vAlign w:val="center"/>
          </w:tcPr>
          <w:p w14:paraId="313077DD">
            <w:pPr>
              <w:keepNext w:val="0"/>
              <w:keepLines w:val="0"/>
              <w:pageBreakBefore w:val="0"/>
              <w:kinsoku/>
              <w:wordWrap/>
              <w:overflowPunct/>
              <w:topLinePunct w:val="0"/>
              <w:autoSpaceDE/>
              <w:autoSpaceDN/>
              <w:bidi w:val="0"/>
              <w:adjustRightInd/>
              <w:snapToGrid/>
              <w:spacing w:line="288" w:lineRule="auto"/>
              <w:ind w:left="-210" w:leftChars="-100" w:right="-210" w:rightChars="-10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预算</w:t>
            </w:r>
            <w:r>
              <w:rPr>
                <w:rFonts w:hint="eastAsia" w:ascii="宋体" w:hAnsi="宋体" w:eastAsia="宋体" w:cs="宋体"/>
                <w:color w:val="auto"/>
                <w:sz w:val="24"/>
                <w:highlight w:val="none"/>
                <w:lang w:eastAsia="zh-CN"/>
              </w:rPr>
              <w:t>单价</w:t>
            </w:r>
          </w:p>
          <w:p w14:paraId="057D2FB4">
            <w:pPr>
              <w:keepNext w:val="0"/>
              <w:keepLines w:val="0"/>
              <w:pageBreakBefore w:val="0"/>
              <w:widowControl/>
              <w:kinsoku/>
              <w:wordWrap/>
              <w:overflowPunct/>
              <w:topLinePunct w:val="0"/>
              <w:autoSpaceDE/>
              <w:autoSpaceDN/>
              <w:bidi w:val="0"/>
              <w:adjustRightInd/>
              <w:snapToGrid/>
              <w:spacing w:line="288" w:lineRule="auto"/>
              <w:ind w:left="-210" w:leftChars="-100" w:right="-210" w:rightChars="-1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（元/人）</w:t>
            </w:r>
          </w:p>
        </w:tc>
        <w:tc>
          <w:tcPr>
            <w:tcW w:w="1473" w:type="dxa"/>
            <w:tcBorders>
              <w:top w:val="single" w:color="auto" w:sz="4" w:space="0"/>
              <w:left w:val="single" w:color="auto" w:sz="4" w:space="0"/>
              <w:bottom w:val="single" w:color="auto" w:sz="4" w:space="0"/>
              <w:right w:val="single" w:color="auto" w:sz="4" w:space="0"/>
            </w:tcBorders>
            <w:vAlign w:val="center"/>
          </w:tcPr>
          <w:p w14:paraId="3D0AC647">
            <w:pPr>
              <w:keepNext w:val="0"/>
              <w:keepLines w:val="0"/>
              <w:pageBreakBefore w:val="0"/>
              <w:kinsoku/>
              <w:wordWrap/>
              <w:overflowPunct/>
              <w:topLinePunct w:val="0"/>
              <w:autoSpaceDE/>
              <w:autoSpaceDN/>
              <w:bidi w:val="0"/>
              <w:adjustRightInd/>
              <w:snapToGrid/>
              <w:spacing w:line="288" w:lineRule="auto"/>
              <w:ind w:left="-210" w:leftChars="-100" w:right="-210" w:rightChars="-1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p>
          <w:p w14:paraId="7ED224B2">
            <w:pPr>
              <w:keepNext w:val="0"/>
              <w:keepLines w:val="0"/>
              <w:pageBreakBefore w:val="0"/>
              <w:widowControl/>
              <w:kinsoku/>
              <w:wordWrap/>
              <w:overflowPunct/>
              <w:topLinePunct w:val="0"/>
              <w:autoSpaceDE/>
              <w:autoSpaceDN/>
              <w:bidi w:val="0"/>
              <w:adjustRightInd/>
              <w:snapToGrid/>
              <w:spacing w:line="288" w:lineRule="auto"/>
              <w:ind w:left="-210" w:leftChars="-100" w:right="-210" w:rightChars="-1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2"/>
                <w:highlight w:val="none"/>
                <w:lang w:val="en-US" w:eastAsia="zh-CN" w:bidi="ar-SA"/>
              </w:rPr>
              <w:t>（最高限价）</w:t>
            </w:r>
          </w:p>
        </w:tc>
        <w:tc>
          <w:tcPr>
            <w:tcW w:w="1153" w:type="dxa"/>
            <w:tcBorders>
              <w:top w:val="single" w:color="auto" w:sz="4" w:space="0"/>
              <w:left w:val="single" w:color="auto" w:sz="4" w:space="0"/>
              <w:bottom w:val="single" w:color="auto" w:sz="4" w:space="0"/>
              <w:right w:val="single" w:color="auto" w:sz="4" w:space="0"/>
            </w:tcBorders>
            <w:vAlign w:val="center"/>
          </w:tcPr>
          <w:p w14:paraId="0F16857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Tahoma"/>
                <w:color w:val="auto"/>
                <w:kern w:val="2"/>
                <w:sz w:val="24"/>
                <w:szCs w:val="22"/>
                <w:highlight w:val="none"/>
                <w:lang w:val="en-US" w:eastAsia="zh-CN" w:bidi="ar-SA"/>
              </w:rPr>
              <w:t>主要技术规格</w:t>
            </w:r>
          </w:p>
        </w:tc>
      </w:tr>
      <w:tr w14:paraId="1F05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962" w:type="dxa"/>
            <w:tcBorders>
              <w:top w:val="single" w:color="auto" w:sz="4" w:space="0"/>
              <w:left w:val="single" w:color="auto" w:sz="4" w:space="0"/>
              <w:bottom w:val="single" w:color="auto" w:sz="4" w:space="0"/>
              <w:right w:val="single" w:color="auto" w:sz="4" w:space="0"/>
            </w:tcBorders>
            <w:vAlign w:val="center"/>
          </w:tcPr>
          <w:p w14:paraId="5D5EACA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2105" w:type="dxa"/>
            <w:tcBorders>
              <w:top w:val="single" w:color="auto" w:sz="4" w:space="0"/>
              <w:left w:val="single" w:color="auto" w:sz="4" w:space="0"/>
              <w:bottom w:val="single" w:color="auto" w:sz="4" w:space="0"/>
              <w:right w:val="single" w:color="auto" w:sz="4" w:space="0"/>
            </w:tcBorders>
            <w:vAlign w:val="center"/>
          </w:tcPr>
          <w:p w14:paraId="16076AAA">
            <w:pPr>
              <w:keepNext w:val="0"/>
              <w:keepLines w:val="0"/>
              <w:pageBreakBefore w:val="0"/>
              <w:widowControl/>
              <w:kinsoku/>
              <w:wordWrap/>
              <w:overflowPunct/>
              <w:topLinePunct w:val="0"/>
              <w:autoSpaceDE/>
              <w:autoSpaceDN/>
              <w:bidi w:val="0"/>
              <w:adjustRightInd/>
              <w:snapToGrid/>
              <w:spacing w:line="288" w:lineRule="auto"/>
              <w:ind w:left="-63" w:leftChars="-30" w:right="-63" w:rightChars="-3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农用无人机飞手专题培训</w:t>
            </w:r>
          </w:p>
        </w:tc>
        <w:tc>
          <w:tcPr>
            <w:tcW w:w="1260" w:type="dxa"/>
            <w:tcBorders>
              <w:left w:val="single" w:color="auto" w:sz="4" w:space="0"/>
              <w:right w:val="single" w:color="auto" w:sz="4" w:space="0"/>
            </w:tcBorders>
            <w:vAlign w:val="center"/>
          </w:tcPr>
          <w:p w14:paraId="10700DB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50人</w:t>
            </w:r>
          </w:p>
        </w:tc>
        <w:tc>
          <w:tcPr>
            <w:tcW w:w="1198" w:type="dxa"/>
            <w:tcBorders>
              <w:left w:val="single" w:color="auto" w:sz="4" w:space="0"/>
              <w:right w:val="single" w:color="auto" w:sz="4" w:space="0"/>
            </w:tcBorders>
            <w:vAlign w:val="center"/>
          </w:tcPr>
          <w:p w14:paraId="357E2B3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天</w:t>
            </w:r>
          </w:p>
        </w:tc>
        <w:tc>
          <w:tcPr>
            <w:tcW w:w="1369" w:type="dxa"/>
            <w:tcBorders>
              <w:left w:val="single" w:color="auto" w:sz="4" w:space="0"/>
              <w:right w:val="single" w:color="auto" w:sz="4" w:space="0"/>
            </w:tcBorders>
            <w:vAlign w:val="center"/>
          </w:tcPr>
          <w:p w14:paraId="545DF8A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5500</w:t>
            </w:r>
          </w:p>
        </w:tc>
        <w:tc>
          <w:tcPr>
            <w:tcW w:w="1473" w:type="dxa"/>
            <w:tcBorders>
              <w:left w:val="single" w:color="auto" w:sz="4" w:space="0"/>
              <w:right w:val="single" w:color="auto" w:sz="4" w:space="0"/>
            </w:tcBorders>
            <w:vAlign w:val="center"/>
          </w:tcPr>
          <w:p w14:paraId="4C0EEC3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275000元</w:t>
            </w:r>
          </w:p>
        </w:tc>
        <w:tc>
          <w:tcPr>
            <w:tcW w:w="1153" w:type="dxa"/>
            <w:tcBorders>
              <w:left w:val="single" w:color="auto" w:sz="4" w:space="0"/>
              <w:right w:val="single" w:color="auto" w:sz="4" w:space="0"/>
            </w:tcBorders>
            <w:vAlign w:val="center"/>
          </w:tcPr>
          <w:p w14:paraId="54C0A8E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Tahoma"/>
                <w:color w:val="auto"/>
                <w:sz w:val="24"/>
                <w:highlight w:val="none"/>
              </w:rPr>
              <w:t>详见</w:t>
            </w:r>
            <w:r>
              <w:rPr>
                <w:rFonts w:hint="eastAsia" w:ascii="宋体" w:hAnsi="宋体" w:eastAsia="宋体" w:cs="Tahoma"/>
                <w:color w:val="auto"/>
                <w:sz w:val="24"/>
                <w:highlight w:val="none"/>
                <w:lang w:val="en-US" w:eastAsia="zh-CN"/>
              </w:rPr>
              <w:t>采购</w:t>
            </w:r>
            <w:r>
              <w:rPr>
                <w:rFonts w:hint="eastAsia" w:ascii="宋体" w:hAnsi="宋体" w:eastAsia="宋体" w:cs="Tahoma"/>
                <w:color w:val="auto"/>
                <w:sz w:val="24"/>
                <w:highlight w:val="none"/>
              </w:rPr>
              <w:t>文件第三章</w:t>
            </w:r>
            <w:r>
              <w:rPr>
                <w:rFonts w:hint="eastAsia" w:ascii="宋体" w:hAnsi="宋体" w:eastAsia="宋体" w:cs="宋体"/>
                <w:color w:val="auto"/>
                <w:sz w:val="24"/>
                <w:szCs w:val="24"/>
                <w:highlight w:val="none"/>
                <w:lang w:val="en-US" w:eastAsia="zh-CN"/>
              </w:rPr>
              <w:t xml:space="preserve"> </w:t>
            </w:r>
          </w:p>
        </w:tc>
      </w:tr>
      <w:tr w14:paraId="0FCA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9520" w:type="dxa"/>
            <w:gridSpan w:val="7"/>
            <w:tcBorders>
              <w:top w:val="single" w:color="auto" w:sz="4" w:space="0"/>
              <w:left w:val="single" w:color="auto" w:sz="4" w:space="0"/>
              <w:bottom w:val="single" w:color="auto" w:sz="4" w:space="0"/>
              <w:right w:val="single" w:color="auto" w:sz="4" w:space="0"/>
            </w:tcBorders>
            <w:vAlign w:val="center"/>
          </w:tcPr>
          <w:p w14:paraId="459100C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注：投标人报价不得超过最高限价，超过最高限价为无效报价。</w:t>
            </w:r>
          </w:p>
        </w:tc>
      </w:tr>
    </w:tbl>
    <w:p w14:paraId="7F653360">
      <w:pPr>
        <w:spacing w:line="312" w:lineRule="auto"/>
        <w:ind w:firstLine="480"/>
        <w:outlineLvl w:val="2"/>
        <w:rPr>
          <w:rFonts w:hint="default"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4.采购项目需要落实的政府采购政策：</w:t>
      </w:r>
    </w:p>
    <w:p w14:paraId="1FE8FB22">
      <w:pPr>
        <w:spacing w:line="312"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进口产品：不适用于本项目</w:t>
      </w:r>
    </w:p>
    <w:p w14:paraId="31006712">
      <w:pPr>
        <w:spacing w:line="312"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节能产品：不适用于本项目。</w:t>
      </w:r>
    </w:p>
    <w:p w14:paraId="5FBFC0E3">
      <w:pPr>
        <w:spacing w:line="312"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环境标志产品：不适用于本项目。</w:t>
      </w:r>
    </w:p>
    <w:p w14:paraId="5C558155">
      <w:pPr>
        <w:spacing w:line="312"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促进中小企业发展的相关政策：</w:t>
      </w:r>
    </w:p>
    <w:p w14:paraId="418F5A1B">
      <w:pPr>
        <w:spacing w:line="312"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采购包1：不专门面向中小企业</w:t>
      </w:r>
    </w:p>
    <w:p w14:paraId="02C5188C">
      <w:pPr>
        <w:spacing w:line="312" w:lineRule="auto"/>
        <w:ind w:firstLine="480"/>
        <w:outlineLvl w:val="2"/>
        <w:rPr>
          <w:rFonts w:hint="default"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5.供应商的资格要求</w:t>
      </w:r>
    </w:p>
    <w:p w14:paraId="7258F3B0">
      <w:pPr>
        <w:spacing w:line="312" w:lineRule="auto"/>
        <w:ind w:firstLine="480" w:firstLineChars="20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5.1法定条件：符合《中华人民共和国政府采购法》第二十二条第一款规定的条件。</w:t>
      </w:r>
    </w:p>
    <w:p w14:paraId="58007A57">
      <w:pPr>
        <w:spacing w:line="312" w:lineRule="auto"/>
        <w:ind w:firstLine="480" w:firstLineChars="20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5.2特定条件：</w:t>
      </w:r>
    </w:p>
    <w:p w14:paraId="26B31B2D">
      <w:pPr>
        <w:spacing w:line="312" w:lineRule="auto"/>
        <w:ind w:firstLine="480" w:firstLineChars="20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采购包1：</w:t>
      </w:r>
    </w:p>
    <w:tbl>
      <w:tblPr>
        <w:tblStyle w:val="2"/>
        <w:tblW w:w="5653" w:type="pct"/>
        <w:tblInd w:w="-5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94"/>
        <w:gridCol w:w="7341"/>
      </w:tblGrid>
      <w:tr w14:paraId="29E1C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0" w:type="pct"/>
          </w:tcPr>
          <w:p w14:paraId="04A6D12E">
            <w:pPr>
              <w:spacing w:line="360" w:lineRule="auto"/>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资格审查要求概况</w:t>
            </w:r>
          </w:p>
        </w:tc>
        <w:tc>
          <w:tcPr>
            <w:tcW w:w="3809" w:type="pct"/>
          </w:tcPr>
          <w:p w14:paraId="62DE68ED">
            <w:pPr>
              <w:spacing w:line="360" w:lineRule="auto"/>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评审点具体描述</w:t>
            </w:r>
          </w:p>
        </w:tc>
      </w:tr>
      <w:tr w14:paraId="3467D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0" w:type="pct"/>
          </w:tcPr>
          <w:p w14:paraId="1CB29AAA">
            <w:pPr>
              <w:spacing w:line="360" w:lineRule="auto"/>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资格承诺函</w:t>
            </w:r>
          </w:p>
        </w:tc>
        <w:tc>
          <w:tcPr>
            <w:tcW w:w="3809" w:type="pct"/>
          </w:tcPr>
          <w:p w14:paraId="76DB4E2F">
            <w:pPr>
              <w:spacing w:line="360" w:lineRule="auto"/>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958F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2" w:hRule="atLeast"/>
        </w:trPr>
        <w:tc>
          <w:tcPr>
            <w:tcW w:w="1190" w:type="pct"/>
            <w:vAlign w:val="center"/>
          </w:tcPr>
          <w:p w14:paraId="3788C507">
            <w:pPr>
              <w:keepNext w:val="0"/>
              <w:keepLines w:val="0"/>
              <w:pageBreakBefore w:val="0"/>
              <w:widowControl w:val="0"/>
              <w:numPr>
                <w:ilvl w:val="0"/>
                <w:numId w:val="0"/>
              </w:numPr>
              <w:tabs>
                <w:tab w:val="left" w:pos="0"/>
              </w:tabs>
              <w:kinsoku/>
              <w:overflowPunct/>
              <w:topLinePunct w:val="0"/>
              <w:autoSpaceDE/>
              <w:autoSpaceDN/>
              <w:bidi w:val="0"/>
              <w:adjustRightInd/>
              <w:snapToGrid/>
              <w:spacing w:line="288" w:lineRule="auto"/>
              <w:jc w:val="left"/>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特殊资格要求</w:t>
            </w:r>
          </w:p>
        </w:tc>
        <w:tc>
          <w:tcPr>
            <w:tcW w:w="3809" w:type="pct"/>
          </w:tcPr>
          <w:p w14:paraId="29BA925B">
            <w:pPr>
              <w:keepNext w:val="0"/>
              <w:keepLines w:val="0"/>
              <w:pageBreakBefore w:val="0"/>
              <w:widowControl w:val="0"/>
              <w:numPr>
                <w:ilvl w:val="0"/>
                <w:numId w:val="0"/>
              </w:numPr>
              <w:tabs>
                <w:tab w:val="left" w:pos="0"/>
              </w:tabs>
              <w:kinsoku/>
              <w:overflowPunct/>
              <w:topLinePunct w:val="0"/>
              <w:autoSpaceDE/>
              <w:autoSpaceDN/>
              <w:bidi w:val="0"/>
              <w:adjustRightInd/>
              <w:snapToGrid/>
              <w:spacing w:line="288" w:lineRule="auto"/>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lang w:eastAsia="zh-CN"/>
              </w:rPr>
              <w:t>供应商须在中国境内注册，是依法经人社部门办学许可，在民政部门登记成立，或者是依法在市场监督管理部门登记成立的企事业、机构等社会职业培训机构。培训机构具备安全生产标准化三级以上企业证书，营业执照或从事办学的相应有效的证明材料。</w:t>
            </w:r>
          </w:p>
        </w:tc>
      </w:tr>
      <w:tr w14:paraId="228F9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2" w:hRule="atLeast"/>
        </w:trPr>
        <w:tc>
          <w:tcPr>
            <w:tcW w:w="1190" w:type="pct"/>
            <w:vAlign w:val="center"/>
          </w:tcPr>
          <w:p w14:paraId="2D0D4159">
            <w:pPr>
              <w:spacing w:line="360" w:lineRule="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须随身携带材料</w:t>
            </w:r>
          </w:p>
        </w:tc>
        <w:tc>
          <w:tcPr>
            <w:tcW w:w="3809" w:type="pct"/>
          </w:tcPr>
          <w:p w14:paraId="674EC5C0">
            <w:pPr>
              <w:spacing w:line="360" w:lineRule="auto"/>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shd w:val="clear" w:color="auto" w:fill="FFFFFF"/>
                <w:lang w:val="en-US" w:eastAsia="zh-CN" w:bidi="ar-SA"/>
              </w:rPr>
              <w:t>单位负责人参加投标时需随身携带本人身份证原件及营业执照复印件到开标现场进行身份核验；授权代表参加投标时除在投标文件中需随附《单位负责人授权书》外，还需随身携带本人身份证原件及复印件、单位负责人身份证复印件、《单位负责人授权书》到开标现场进行身份核验。</w:t>
            </w:r>
          </w:p>
        </w:tc>
      </w:tr>
    </w:tbl>
    <w:p w14:paraId="13B963D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5.3是否接受联合体形式的响应谈判：</w:t>
      </w:r>
    </w:p>
    <w:p w14:paraId="4E20EE67">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采购包1：不接受</w:t>
      </w:r>
    </w:p>
    <w:p w14:paraId="56DB935C">
      <w:pPr>
        <w:spacing w:line="360" w:lineRule="auto"/>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※根据上述资格要求，供应商响应文件中应提交的“资格证明文件”相关规定和资料要求，详见竞争性谈判须知前附表和谈判文件第五章。</w:t>
      </w:r>
    </w:p>
    <w:p w14:paraId="54AFBC5B">
      <w:pPr>
        <w:spacing w:line="360" w:lineRule="auto"/>
        <w:ind w:firstLine="480"/>
        <w:outlineLvl w:val="2"/>
        <w:rPr>
          <w:rFonts w:hint="default"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6.获取采购文件时间、地点、方式：</w:t>
      </w:r>
    </w:p>
    <w:p w14:paraId="1A30E773">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6.1、招标文件获取期限：详见招标公告或更正公告，若不一致，以更正公告为准。</w:t>
      </w:r>
    </w:p>
    <w:p w14:paraId="73754751">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6.2、在招标文件获取时间：2025年10月28日至2025年10月31日(公休、节假日除外)，每天8:30-11:30，15:00-18:00（北京时间）。</w:t>
      </w:r>
    </w:p>
    <w:p w14:paraId="19EC4A02">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6.3、获取地点：中宏源建设管理有限公司（三明市三元区徐碧街道乾龙新村416栋福清商会8楼）。</w:t>
      </w:r>
    </w:p>
    <w:p w14:paraId="12053E28">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6.4、招标文件售价：300元。若需邮寄，需另加50元。纸质招标文件与电子招标文件具有同等法律效力，招标文件售后不退。</w:t>
      </w:r>
    </w:p>
    <w:p w14:paraId="5348FC3B">
      <w:pPr>
        <w:spacing w:line="360" w:lineRule="auto"/>
        <w:ind w:firstLine="48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6.5、方式：(1)获取方式: 现场获取或邮箱获取；(2) 邮箱获取方式:将所报名的项目名称、投标单位名称、项目联系人及联系电话发至邮箱 1204177354@qq.com。</w:t>
      </w:r>
    </w:p>
    <w:p w14:paraId="620EF6AC">
      <w:pPr>
        <w:spacing w:line="360" w:lineRule="auto"/>
        <w:ind w:firstLine="480"/>
        <w:outlineLvl w:val="2"/>
        <w:rPr>
          <w:rFonts w:hint="default"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7.首次响应文件递交截止时间及地点：</w:t>
      </w:r>
    </w:p>
    <w:p w14:paraId="48FD49EF">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7.1、投标截止时间：</w:t>
      </w:r>
      <w:bookmarkStart w:id="0" w:name="EB7de1c3a0fb444d538b3f38d3f48b514d"/>
      <w:r>
        <w:rPr>
          <w:rFonts w:hint="eastAsia" w:ascii="宋体" w:hAnsi="宋体" w:eastAsia="宋体" w:cs="宋体"/>
          <w:color w:val="auto"/>
          <w:sz w:val="24"/>
          <w:szCs w:val="24"/>
          <w:highlight w:val="none"/>
          <w:lang w:val="en-US" w:eastAsia="zh-CN" w:bidi="ar-SA"/>
        </w:rPr>
        <w:t>2025年11月03日上午09:</w:t>
      </w:r>
      <w:bookmarkEnd w:id="0"/>
      <w:r>
        <w:rPr>
          <w:rFonts w:hint="eastAsia" w:ascii="宋体" w:hAnsi="宋体" w:eastAsia="宋体" w:cs="宋体"/>
          <w:color w:val="auto"/>
          <w:sz w:val="24"/>
          <w:szCs w:val="24"/>
          <w:highlight w:val="none"/>
          <w:lang w:val="en-US" w:eastAsia="zh-CN" w:bidi="ar-SA"/>
        </w:rPr>
        <w:t>30。</w:t>
      </w:r>
    </w:p>
    <w:p w14:paraId="02141176">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7.2、纸质投标文件密封后于投标截止时间之前送达</w:t>
      </w:r>
      <w:r>
        <w:rPr>
          <w:rFonts w:hint="eastAsia" w:ascii="宋体" w:hAnsi="宋体" w:eastAsia="宋体" w:cs="Times New Roman"/>
          <w:color w:val="auto"/>
          <w:sz w:val="24"/>
          <w:highlight w:val="none"/>
          <w:lang w:val="en-US" w:eastAsia="zh-CN" w:bidi="ar-SA"/>
        </w:rPr>
        <w:t>泰宁县公共资源交易中心开标室（泰宁县归化路49号行政服务中心4楼）</w:t>
      </w:r>
      <w:r>
        <w:rPr>
          <w:rFonts w:hint="eastAsia" w:ascii="宋体" w:hAnsi="宋体" w:eastAsia="宋体" w:cs="宋体"/>
          <w:color w:val="auto"/>
          <w:sz w:val="24"/>
          <w:szCs w:val="24"/>
          <w:highlight w:val="none"/>
          <w:lang w:val="en-US" w:eastAsia="zh-CN" w:bidi="ar-SA"/>
        </w:rPr>
        <w:t>，招标代理机构在开标时间截止前30分钟开始接收投标文件。逾期或不符合规定的投标文件将被拒绝接收。</w:t>
      </w:r>
    </w:p>
    <w:p w14:paraId="785FC4CF">
      <w:pPr>
        <w:spacing w:line="360" w:lineRule="auto"/>
        <w:ind w:firstLine="480"/>
        <w:outlineLvl w:val="2"/>
        <w:rPr>
          <w:rFonts w:hint="default"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8.开标时间及地点</w:t>
      </w:r>
    </w:p>
    <w:p w14:paraId="6D1C7304">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8.1、详见招标公告或更正公告，若不一致，以更正公告为准。</w:t>
      </w:r>
    </w:p>
    <w:p w14:paraId="058C90FA">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8.2、开标时间：2025年11月03日上午09:30（北京时间）</w:t>
      </w:r>
    </w:p>
    <w:p w14:paraId="58E1A577">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8.3、开标地点：</w:t>
      </w:r>
      <w:r>
        <w:rPr>
          <w:rFonts w:hint="eastAsia" w:ascii="宋体" w:hAnsi="宋体" w:eastAsia="宋体" w:cs="Times New Roman"/>
          <w:color w:val="auto"/>
          <w:sz w:val="24"/>
          <w:highlight w:val="none"/>
          <w:lang w:val="en-US" w:eastAsia="zh-CN" w:bidi="ar-SA"/>
        </w:rPr>
        <w:t>泰宁县公共资源交易中心开标室（泰宁县归化路49号行政服务中心4楼）</w:t>
      </w:r>
      <w:r>
        <w:rPr>
          <w:rFonts w:hint="eastAsia" w:ascii="宋体" w:hAnsi="宋体" w:eastAsia="宋体" w:cs="宋体"/>
          <w:color w:val="auto"/>
          <w:sz w:val="24"/>
          <w:szCs w:val="24"/>
          <w:highlight w:val="none"/>
          <w:lang w:val="en-US" w:eastAsia="zh-CN" w:bidi="ar-SA"/>
        </w:rPr>
        <w:t>。</w:t>
      </w:r>
    </w:p>
    <w:p w14:paraId="4B8E523A">
      <w:pPr>
        <w:spacing w:line="360" w:lineRule="auto"/>
        <w:ind w:firstLine="480"/>
        <w:outlineLvl w:val="2"/>
        <w:rPr>
          <w:rFonts w:hint="default"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9、投标保证金：</w:t>
      </w:r>
    </w:p>
    <w:p w14:paraId="72C465F2">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9.1、投标保证金数额：人民币贰仟柒佰元整（￥2700元）；</w:t>
      </w:r>
    </w:p>
    <w:p w14:paraId="364458E3">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9.2、投标保证金提交方式：从投标单位账户以转账、电汇的方式交纳至代理公司指定的账户，以款到账户为准，并在汇款凭证上清楚注明“ ZHYJS【2025】TNCG010号”保证金，</w:t>
      </w:r>
      <w:r>
        <w:rPr>
          <w:rFonts w:hint="eastAsia" w:ascii="宋体" w:hAnsi="宋体" w:eastAsia="宋体" w:cs="宋体"/>
          <w:color w:val="auto"/>
          <w:sz w:val="24"/>
          <w:szCs w:val="24"/>
          <w:highlight w:val="none"/>
          <w:shd w:val="clear" w:color="auto" w:fill="FFFFFF"/>
          <w:lang w:val="en-US" w:eastAsia="zh-CN" w:bidi="ar-SA"/>
        </w:rPr>
        <w:t>或用现金方式现场递交（需用信封密封）；</w:t>
      </w:r>
      <w:r>
        <w:rPr>
          <w:rFonts w:hint="eastAsia" w:ascii="宋体" w:hAnsi="宋体" w:eastAsia="宋体" w:cs="宋体"/>
          <w:color w:val="auto"/>
          <w:sz w:val="24"/>
          <w:szCs w:val="24"/>
          <w:highlight w:val="none"/>
          <w:lang w:val="en-US" w:eastAsia="zh-CN" w:bidi="ar-SA"/>
        </w:rPr>
        <w:t>未按时缴纳保证金的投标单位的投标文件将被拒绝。</w:t>
      </w:r>
    </w:p>
    <w:p w14:paraId="5509C2F0">
      <w:pPr>
        <w:spacing w:line="360" w:lineRule="auto"/>
        <w:ind w:firstLine="480"/>
        <w:outlineLvl w:val="2"/>
        <w:rPr>
          <w:rFonts w:hint="default"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10.公告期限</w:t>
      </w:r>
    </w:p>
    <w:p w14:paraId="78927562">
      <w:pPr>
        <w:spacing w:line="360"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招标公告的公告期限：自本项目采购信息发布媒体最先发布公告之日起3个工作日。</w:t>
      </w:r>
    </w:p>
    <w:p w14:paraId="1A5675B5">
      <w:pPr>
        <w:spacing w:line="360" w:lineRule="auto"/>
        <w:ind w:firstLine="480"/>
        <w:outlineLvl w:val="2"/>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11.采购人：泰宁县农业机械推广中心</w:t>
      </w:r>
    </w:p>
    <w:p w14:paraId="59D2533E">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联系人：张先生</w:t>
      </w:r>
    </w:p>
    <w:p w14:paraId="63FC94A6">
      <w:pPr>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联系电话：13656916118 </w:t>
      </w:r>
    </w:p>
    <w:p w14:paraId="502F3FD5">
      <w:pPr>
        <w:spacing w:line="360" w:lineRule="auto"/>
        <w:ind w:firstLine="480"/>
        <w:outlineLvl w:val="2"/>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12.代理机构：中宏源建设管理有限公司</w:t>
      </w:r>
    </w:p>
    <w:p w14:paraId="3D52BAF9">
      <w:pPr>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地址：三明市三元区徐碧街道乾龙新村416栋福清商会8楼 </w:t>
      </w:r>
    </w:p>
    <w:p w14:paraId="4335F069">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联系人：小邓</w:t>
      </w:r>
    </w:p>
    <w:p w14:paraId="45432800">
      <w:pPr>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联系电话： 0598-8228858/18020829269</w:t>
      </w:r>
    </w:p>
    <w:p w14:paraId="5622D038">
      <w:pPr>
        <w:spacing w:line="360" w:lineRule="auto"/>
        <w:ind w:firstLine="480"/>
        <w:outlineLvl w:val="2"/>
        <w:rPr>
          <w:rFonts w:hint="default"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附1：提交谈判保证金的银行账户信息</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4398C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FE46392">
            <w:pPr>
              <w:spacing w:line="360" w:lineRule="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银行账户</w:t>
            </w:r>
          </w:p>
        </w:tc>
      </w:tr>
      <w:tr w14:paraId="2EAF6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DE34073">
            <w:pPr>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开户名称： 中宏源建设管理有限公司三明市分公司</w:t>
            </w:r>
          </w:p>
        </w:tc>
      </w:tr>
      <w:tr w14:paraId="74861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710F6C9">
            <w:pPr>
              <w:spacing w:line="360" w:lineRule="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开户银行： 泉州银行三明分行营业部</w:t>
            </w:r>
          </w:p>
        </w:tc>
      </w:tr>
      <w:tr w14:paraId="0E885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E9DB465">
            <w:pPr>
              <w:spacing w:line="360" w:lineRule="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银行账号： 4010 0112 0000 2400 128</w:t>
            </w:r>
          </w:p>
        </w:tc>
      </w:tr>
      <w:tr w14:paraId="57B3B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6A1134F">
            <w:pPr>
              <w:spacing w:line="360" w:lineRule="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特别提示</w:t>
            </w:r>
          </w:p>
        </w:tc>
      </w:tr>
      <w:tr w14:paraId="3F282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B6011CF">
            <w:pPr>
              <w:spacing w:line="360" w:lineRule="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1、请供应商务必认真核对账户信息，将谈判保证金款项汇入对应账户，并自行承担因款项汇错而产生的一切后果，</w:t>
            </w:r>
            <w:r>
              <w:rPr>
                <w:rFonts w:hint="eastAsia" w:ascii="宋体" w:hAnsi="宋体" w:eastAsia="宋体" w:cs="宋体"/>
                <w:color w:val="auto"/>
                <w:sz w:val="24"/>
                <w:szCs w:val="24"/>
                <w:highlight w:val="none"/>
                <w:shd w:val="clear" w:color="auto" w:fill="FFFFFF"/>
                <w:lang w:val="en-US" w:eastAsia="zh-CN" w:bidi="ar-SA"/>
              </w:rPr>
              <w:t>或用现金方式现场递交（需用信封密封）</w:t>
            </w:r>
            <w:r>
              <w:rPr>
                <w:rFonts w:hint="eastAsia" w:ascii="宋体" w:hAnsi="宋体" w:eastAsia="宋体" w:cs="宋体"/>
                <w:color w:val="auto"/>
                <w:sz w:val="24"/>
                <w:szCs w:val="24"/>
                <w:highlight w:val="none"/>
                <w:lang w:val="en-US" w:eastAsia="zh-CN" w:bidi="ar-SA"/>
              </w:rPr>
              <w:t>。 2、请供应商在转账或电汇的凭证上务必按照以下格式注明，以便核对：“（项目编号：***、采购包：***）的谈判保证金”。</w:t>
            </w:r>
          </w:p>
        </w:tc>
      </w:tr>
    </w:tbl>
    <w:p w14:paraId="13C71D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16869"/>
    <w:rsid w:val="4161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2025-10-28T01:51:00Z</dcterms:created>
  <dc:creator>佳了个彤</dc:creator>
  <cp:lastModifiedBy>佳了个彤</cp:lastModifiedBy>
  <dcterms:modified xsi:type="dcterms:W3CDTF">2025-10-28T01:52:26Z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40315551369245498C1097543484C7B4_11</vt:lpwstr>
  </property>
  <property fmtid="{D5CDD505-2E9C-101B-9397-08002B2CF9AE}" pid="4" name="KSOTemplateDocerSaveRecord">
    <vt:lpwstr>eyJoZGlkIjoiYzc1YjZiMzA3YmZkYWFhYzM5NzkwZDdlNGQyZGNkMjUiLCJ1c2VySWQiOiI0MDYzODE5ODcifQ==</vt:lpwstr>
  </property>
</Properties>
</file>