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</w:p>
    <w:p>
      <w:pPr>
        <w:spacing w:line="580" w:lineRule="exact"/>
        <w:ind w:right="-198" w:rightChars="-62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泰宁县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年人才引进和招聘紧缺急需专业目录</w:t>
      </w:r>
    </w:p>
    <w:tbl>
      <w:tblPr>
        <w:tblStyle w:val="2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41"/>
        <w:gridCol w:w="5138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产业或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主要涉及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医疗医技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临床医学类，基础医学类，公共卫生与预防医学类，医学技术类，护理学类，药学类，中西医临床医学、中西医结合临床、中西医结合基础、中西医结合康复学、中医学、针灸推拿（学）、针灸学、中医康复学、中医康复技术、中医骨伤科学、中药（学）</w:t>
            </w: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中小学、中职教学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中国语言文学类，数学类，历史学类，地理科学类，生物科学类，化学类，物理学类，教育学类、政治学类、表演艺术类</w:t>
            </w: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具有相应教师资格证书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事业单位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全领域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中国语言文学类</w:t>
            </w: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交通运输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公路运输类，土建类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公路桥梁、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隧道工程</w:t>
            </w:r>
          </w:p>
        </w:tc>
        <w:tc>
          <w:tcPr>
            <w:tcW w:w="5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港口航道</w:t>
            </w:r>
          </w:p>
        </w:tc>
        <w:tc>
          <w:tcPr>
            <w:tcW w:w="5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城乡建设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51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土建类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城乡规划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与建设</w:t>
            </w:r>
          </w:p>
        </w:tc>
        <w:tc>
          <w:tcPr>
            <w:tcW w:w="51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土地资源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51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地矿类，测绘类，地理科学类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电子信息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数字政府、信息技术应用</w:t>
            </w:r>
          </w:p>
        </w:tc>
        <w:tc>
          <w:tcPr>
            <w:tcW w:w="51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通信信息类，计算机软件技术类，计算机信息管理类，计算机网络技术类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4"/>
                <w:szCs w:val="24"/>
              </w:rPr>
              <w:t>主导产业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文旅康养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历史文化旅游、旅游服务与管理、休闲服务与管理、旅游管理、旅游管理与服务教育、临床医学类、</w:t>
            </w: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中医学和中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西医结合类、护理学类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hd w:val="clear" w:color="auto" w:fill="auto"/>
                <w:lang w:eastAsia="zh-CN"/>
              </w:rPr>
              <w:t>，森林资源类</w:t>
            </w: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</w:rPr>
              <w:t>现代农业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</w:rPr>
              <w:t>植物生产类，食品科学与工程类，农业经济管理类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，动物医学类，动物生产类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4"/>
                <w:szCs w:val="24"/>
              </w:rPr>
              <w:t>生物医药、轻工纺织、生态林业等其他产业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医药制造研发</w:t>
            </w:r>
          </w:p>
        </w:tc>
        <w:tc>
          <w:tcPr>
            <w:tcW w:w="5138" w:type="dxa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机械类，电气自动化类，材料类，生物工程类，林业工程类，能源动力类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森林资源类，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</w:rPr>
              <w:t>化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工与制药类，纺织科学与工程类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林产品加工</w:t>
            </w: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新能源开发、生产</w:t>
            </w: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纺织品加工</w:t>
            </w: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矿产品加工、食品、饮品开发生产</w:t>
            </w: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</w:rPr>
              <w:t>能源动力</w:t>
            </w:r>
          </w:p>
        </w:tc>
        <w:tc>
          <w:tcPr>
            <w:tcW w:w="51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文化体育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文化事业与产业、融媒体</w:t>
            </w:r>
          </w:p>
        </w:tc>
        <w:tc>
          <w:tcPr>
            <w:tcW w:w="51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艺术设计类，表演艺术类，计算机多媒体技术类，新闻传播学类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健身休闲</w:t>
            </w:r>
          </w:p>
        </w:tc>
        <w:tc>
          <w:tcPr>
            <w:tcW w:w="51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艺术设计类，体育学类，旅游餐饮类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水利水电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水电工程、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51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水利类，土建类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环境科研、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监测</w:t>
            </w:r>
          </w:p>
        </w:tc>
        <w:tc>
          <w:tcPr>
            <w:tcW w:w="51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环境生态类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现代</w:t>
            </w:r>
          </w:p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服务业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物流管理、现代物流管理、物流、物流信息、物流信息管理专业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国际物流、现代物流管理、电子商务物流、物流工程与管理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食品质量检测、监督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食品科学与工程、食品工程、食品科学、食品质量与安全、食品营养与检测专业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260" w:lineRule="exact"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</w:p>
    <w:p>
      <w:pPr>
        <w:spacing w:line="260" w:lineRule="exact"/>
        <w:rPr>
          <w:rFonts w:ascii="仿宋_GB2312" w:hAnsi="宋体" w:cs="宋体"/>
          <w:b/>
          <w:color w:val="000000"/>
          <w:kern w:val="0"/>
          <w:sz w:val="24"/>
          <w:szCs w:val="24"/>
        </w:rPr>
      </w:pPr>
    </w:p>
    <w:p>
      <w:pPr>
        <w:spacing w:line="260" w:lineRule="exact"/>
        <w:ind w:left="31680" w:hanging="944" w:hangingChars="392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b/>
          <w:color w:val="000000"/>
          <w:kern w:val="0"/>
          <w:sz w:val="24"/>
          <w:szCs w:val="24"/>
        </w:rPr>
        <w:t>备注：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表格中某产业或行业、某主要涉及领域所对应的专业要求和其他条件是指该产业或行业、该主要涉及领域紧缺急需人才所需要的专业要求和其他条件，对应的专业要求所列专业及类别之外的专业不属于该产业或行业、该主要涉及领域的紧缺急需专业。</w:t>
      </w:r>
    </w:p>
    <w:p>
      <w:pPr>
        <w:widowControl/>
        <w:spacing w:line="260" w:lineRule="exact"/>
        <w:ind w:left="963" w:leftChars="226" w:hanging="240" w:hangingChars="100"/>
        <w:jc w:val="left"/>
        <w:rPr>
          <w:rFonts w:ascii="仿宋_GB2312" w:hAnsi="宋体" w:cs="宋体"/>
          <w:bCs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表格中专业要求所列专业及类别名称以省上发布的年度《</w:t>
      </w:r>
      <w:r>
        <w:rPr>
          <w:rFonts w:hint="eastAsia" w:ascii="仿宋_GB2312" w:hAnsi="宋体" w:cs="宋体"/>
          <w:bCs/>
          <w:kern w:val="0"/>
          <w:sz w:val="24"/>
          <w:szCs w:val="24"/>
        </w:rPr>
        <w:t>福建省机关事业单位招考专业指导目录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》为准，专业要求所列类别的包含该类别所属的全部专业。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A08D5"/>
    <w:rsid w:val="1F3701AB"/>
    <w:rsid w:val="2CBA08D5"/>
    <w:rsid w:val="3CC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2021-10-09T03:41:00Z</dcterms:created>
  <dc:creator>Administrator</dc:creator>
  <cp:lastModifiedBy>Administrator</cp:lastModifiedBy>
  <dcterms:modified xsi:type="dcterms:W3CDTF">2021-10-19T01:56:24Z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A45A3C39597C4CF9AC0C14C90040875B</vt:lpwstr>
  </property>
</Properties>
</file>