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00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1623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  <w:t>指 标 名 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  <w:t>计量单位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  <w:t>2016年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主动公开文件数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其中：1.政府网站公开数 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871" w:firstLineChars="346"/>
              <w:rPr>
                <w:rFonts w:eastAsia="仿宋_GB2312"/>
                <w:color w:val="000000"/>
                <w:spacing w:val="-24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4"/>
                <w:sz w:val="30"/>
                <w:szCs w:val="30"/>
              </w:rPr>
              <w:t xml:space="preserve">2.政府公报公开数 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0"/>
                <w:sz w:val="30"/>
                <w:szCs w:val="30"/>
              </w:rPr>
              <w:t>受理政府信息公开申请总数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其中：1.当面申请数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900" w:firstLineChars="3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2.网上申请数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900" w:firstLineChars="3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3.信函申请数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对申请的答复总数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其中：1.同意公开答复数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899" w:firstLineChars="346"/>
              <w:rPr>
                <w:rFonts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0"/>
                <w:sz w:val="30"/>
                <w:szCs w:val="30"/>
              </w:rPr>
              <w:t>2.同意部分公开答复数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900" w:firstLineChars="3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3.不予公开答复数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93" w:type="dxa"/>
            <w:vAlign w:val="top"/>
          </w:tcPr>
          <w:p>
            <w:pPr>
              <w:spacing w:line="600" w:lineRule="exact"/>
              <w:ind w:firstLine="900" w:firstLineChars="3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4.其他类型答复数</w:t>
            </w:r>
          </w:p>
        </w:tc>
        <w:tc>
          <w:tcPr>
            <w:tcW w:w="1623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条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9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受理政府信息公开咨询数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9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政府信息公开收费减免金额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0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9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接受行政申诉、举报数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9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行政复议数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9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行政诉讼数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件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根据《中华人民共和国政府信息公开条例》的规定，现公布2016年度大龙乡政府信息公开工作年度报告，内容涵盖大龙乡政府2016年1月1日至12月31日期间的政府信息公开工作情况。如对本报告有任何疑问，请与本单位政府信息公开受理办公室联系（地址：泰宁县大龙乡人民政府，邮编：354406，电话：0598-7762665，电子邮箱：tnxdlx@163.com）。</w:t>
      </w:r>
    </w:p>
    <w:p>
      <w:pPr>
        <w:pStyle w:val="2"/>
        <w:keepNext w:val="0"/>
        <w:keepLines w:val="0"/>
        <w:widowControl/>
        <w:suppressLineNumbers w:val="0"/>
        <w:ind w:left="0" w:firstLine="6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40CC6"/>
    <w:rsid w:val="34927357"/>
    <w:rsid w:val="5D8932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2017-03-23T03:06:00Z</cp:lastPrinted>
  <dcterms:modified xsi:type="dcterms:W3CDTF">2017-03-24T03:24:25Z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