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lang w:val="en-US" w:eastAsia="zh-CN"/>
        </w:rPr>
        <w:t>工信局2020年</w:t>
      </w:r>
      <w:r>
        <w:rPr>
          <w:rFonts w:hint="eastAsia" w:ascii="方正小标宋_GBK" w:hAnsi="方正小标宋_GBK" w:eastAsia="方正小标宋_GBK" w:cs="方正小标宋_GBK"/>
          <w:b w:val="0"/>
          <w:bCs w:val="0"/>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ind w:firstLine="480"/>
        <w:textAlignment w:val="auto"/>
        <w:rPr>
          <w:rFonts w:ascii="宋体" w:cs="Times New Roman"/>
          <w:kern w:val="0"/>
          <w:sz w:val="24"/>
          <w:szCs w:val="24"/>
        </w:rPr>
      </w:pPr>
    </w:p>
    <w:p>
      <w:pPr>
        <w:keepNext w:val="0"/>
        <w:keepLines w:val="0"/>
        <w:pageBreakBefore w:val="0"/>
        <w:widowControl/>
        <w:kinsoku/>
        <w:wordWrap/>
        <w:overflowPunct/>
        <w:topLinePunct w:val="0"/>
        <w:autoSpaceDE/>
        <w:autoSpaceDN/>
        <w:bidi w:val="0"/>
        <w:adjustRightInd/>
        <w:snapToGrid/>
        <w:ind w:firstLine="48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一、总体情况</w:t>
      </w:r>
    </w:p>
    <w:p>
      <w:pPr>
        <w:ind w:firstLine="600" w:firstLineChars="200"/>
        <w:rPr>
          <w:rFonts w:hint="eastAsia" w:eastAsia="仿宋_GB2312"/>
          <w:color w:val="000000"/>
          <w:spacing w:val="-10"/>
          <w:sz w:val="32"/>
          <w:szCs w:val="32"/>
          <w:shd w:val="clear" w:color="auto" w:fill="FFFFFF"/>
          <w:lang w:val="en-US" w:eastAsia="zh-CN"/>
        </w:rPr>
      </w:pPr>
      <w:r>
        <w:rPr>
          <w:rFonts w:hint="eastAsia" w:eastAsia="仿宋_GB2312"/>
          <w:color w:val="000000"/>
          <w:spacing w:val="-10"/>
          <w:sz w:val="32"/>
          <w:szCs w:val="32"/>
          <w:shd w:val="clear" w:color="auto" w:fill="FFFFFF"/>
          <w:lang w:eastAsia="zh-CN"/>
        </w:rPr>
        <w:t>为贯彻落实</w:t>
      </w:r>
      <w:r>
        <w:rPr>
          <w:rFonts w:hint="eastAsia" w:ascii="仿宋_GB2312" w:hAnsi="仿宋_GB2312" w:eastAsia="仿宋_GB2312" w:cs="仿宋_GB2312"/>
          <w:sz w:val="32"/>
          <w:szCs w:val="32"/>
        </w:rPr>
        <w:t>《国务院办公厅政府信息与政务公开办公室关于政府信息公开工作年度报告有关事项的通知》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《中华人民共和国政府信息公开工作年度报告格式（试行）》</w:t>
      </w:r>
      <w:r>
        <w:rPr>
          <w:rFonts w:hint="eastAsia" w:ascii="仿宋_GB2312" w:hAnsi="仿宋_GB2312" w:eastAsia="仿宋_GB2312" w:cs="仿宋_GB2312"/>
          <w:sz w:val="32"/>
          <w:szCs w:val="32"/>
          <w:lang w:eastAsia="zh-CN"/>
        </w:rPr>
        <w:t>等文件精神，按照</w:t>
      </w:r>
      <w:r>
        <w:rPr>
          <w:rFonts w:hint="eastAsia" w:ascii="仿宋_GB2312" w:hAnsi="仿宋_GB2312" w:eastAsia="仿宋_GB2312" w:cs="仿宋_GB2312"/>
          <w:sz w:val="32"/>
          <w:szCs w:val="32"/>
        </w:rPr>
        <w:t>省政府办公厅《关于做好2019年政府信息公开工作年度报告编制公布工作的通知》</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eastAsia="仿宋_GB2312"/>
          <w:color w:val="000000"/>
          <w:spacing w:val="-10"/>
          <w:sz w:val="32"/>
          <w:szCs w:val="32"/>
          <w:shd w:val="clear" w:color="auto" w:fill="FFFFFF"/>
          <w:lang w:eastAsia="zh-CN"/>
        </w:rPr>
        <w:t>切实做好工信局政府信息公开工作年度报告工作，更好发挥政府信息公开工作年度报告的重要作用，</w:t>
      </w:r>
      <w:r>
        <w:rPr>
          <w:rFonts w:hint="eastAsia" w:eastAsia="仿宋_GB2312"/>
          <w:color w:val="000000"/>
          <w:spacing w:val="-10"/>
          <w:sz w:val="32"/>
          <w:szCs w:val="32"/>
          <w:shd w:val="clear" w:color="auto" w:fill="FFFFFF"/>
          <w:lang w:val="en-US" w:eastAsia="zh-CN"/>
        </w:rPr>
        <w:t xml:space="preserve"> </w:t>
      </w:r>
      <w:r>
        <w:rPr>
          <w:rFonts w:hint="eastAsia" w:eastAsia="仿宋_GB2312"/>
          <w:color w:val="000000"/>
          <w:spacing w:val="-10"/>
          <w:sz w:val="32"/>
          <w:szCs w:val="32"/>
          <w:shd w:val="clear" w:color="auto" w:fill="FFFFFF"/>
          <w:lang w:eastAsia="zh-CN"/>
        </w:rPr>
        <w:t>将工信局</w:t>
      </w:r>
      <w:r>
        <w:rPr>
          <w:rFonts w:hint="eastAsia" w:eastAsia="仿宋_GB2312"/>
          <w:color w:val="000000"/>
          <w:spacing w:val="-10"/>
          <w:sz w:val="32"/>
          <w:szCs w:val="32"/>
          <w:shd w:val="clear" w:color="auto" w:fill="FFFFFF"/>
          <w:lang w:val="en-US" w:eastAsia="zh-CN"/>
        </w:rPr>
        <w:t>2020年政府信息公开工作报告如下：</w:t>
      </w:r>
    </w:p>
    <w:p>
      <w:pPr>
        <w:widowControl/>
        <w:spacing w:line="594" w:lineRule="exact"/>
        <w:ind w:firstLine="643" w:firstLineChars="200"/>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（一）总体情况。</w:t>
      </w:r>
    </w:p>
    <w:p>
      <w:pPr>
        <w:widowControl/>
        <w:spacing w:line="594" w:lineRule="exact"/>
        <w:ind w:firstLine="643" w:firstLineChars="200"/>
        <w:rPr>
          <w:rFonts w:hint="eastAsia" w:ascii="仿宋_GB2312" w:hAnsi="仿宋_GB2312" w:eastAsia="仿宋_GB2312" w:cs="仿宋_GB2312"/>
          <w:sz w:val="32"/>
          <w:szCs w:val="32"/>
          <w:lang w:eastAsia="zh-CN"/>
        </w:rPr>
      </w:pPr>
      <w:r>
        <w:rPr>
          <w:rFonts w:hint="eastAsia" w:ascii="楷体_GB2312" w:hAnsi="宋体" w:eastAsia="楷体_GB2312" w:cs="宋体"/>
          <w:b/>
          <w:kern w:val="0"/>
          <w:sz w:val="32"/>
          <w:szCs w:val="32"/>
          <w:lang w:val="en-US" w:eastAsia="zh-CN"/>
        </w:rPr>
        <w:t>1.概述。</w:t>
      </w:r>
      <w:r>
        <w:rPr>
          <w:rFonts w:hint="eastAsia" w:ascii="仿宋_GB2312" w:hAnsi="仿宋_GB2312" w:eastAsia="仿宋_GB2312" w:cs="仿宋_GB2312"/>
          <w:sz w:val="32"/>
          <w:szCs w:val="32"/>
          <w:lang w:eastAsia="zh-CN"/>
        </w:rPr>
        <w:t>按照国家、省里文件精神和县里工作部署要求，根据本单位实际，20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我局调整了政务信息公开工作领导小组，由局主要领导负总责，党委副书记具体抓，各股（室）协调配合，办公室承担日常工作，以确保政府信息公开工作顺利开展。本报告主要包括主动公开政府信息情况、依申请公开情况情况等内容。报告数据时限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年1月1日～12月31日，报告将在泰宁县人民政府网站公布。联系电话：7832220。</w:t>
      </w:r>
    </w:p>
    <w:p>
      <w:pPr>
        <w:widowControl/>
        <w:spacing w:line="594"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宋体" w:eastAsia="楷体_GB2312" w:cs="宋体"/>
          <w:b/>
          <w:kern w:val="0"/>
          <w:sz w:val="32"/>
          <w:szCs w:val="32"/>
          <w:lang w:val="en-US" w:eastAsia="zh-CN" w:bidi="ar-SA"/>
        </w:rPr>
        <w:t>2.建立完善工作机制。</w:t>
      </w:r>
      <w:r>
        <w:rPr>
          <w:rFonts w:hint="eastAsia" w:ascii="仿宋_GB2312" w:hAnsi="仿宋_GB2312" w:eastAsia="仿宋_GB2312" w:cs="仿宋_GB2312"/>
          <w:kern w:val="2"/>
          <w:sz w:val="32"/>
          <w:szCs w:val="32"/>
          <w:lang w:val="en-US" w:eastAsia="zh-CN" w:bidi="ar-SA"/>
        </w:rPr>
        <w:t>成立以局长任组长、党委副书记任副组长，办公室、各业务股室负责人为成员的泰宁县工信局政府信息公开工作领导小组。</w:t>
      </w:r>
    </w:p>
    <w:p>
      <w:pPr>
        <w:pStyle w:val="8"/>
        <w:keepNext w:val="0"/>
        <w:keepLines w:val="0"/>
        <w:widowControl/>
        <w:suppressLineNumbers w:val="0"/>
        <w:spacing w:before="0" w:beforeAutospacing="0" w:after="0" w:afterAutospacing="0" w:line="400" w:lineRule="atLeast"/>
        <w:ind w:firstLine="643" w:firstLineChars="200"/>
        <w:rPr>
          <w:rFonts w:hint="eastAsia" w:ascii="Calibri" w:hAnsi="Calibri" w:eastAsia="仿宋_GB2312" w:cs="Times New Roman"/>
          <w:color w:val="000000"/>
          <w:spacing w:val="-10"/>
          <w:kern w:val="2"/>
          <w:sz w:val="32"/>
          <w:szCs w:val="32"/>
          <w:shd w:val="clear" w:color="auto" w:fill="FFFFFF"/>
          <w:lang w:val="en-US" w:eastAsia="zh-CN" w:bidi="ar-SA"/>
        </w:rPr>
      </w:pPr>
      <w:r>
        <w:rPr>
          <w:rFonts w:hint="eastAsia" w:ascii="楷体_GB2312" w:hAnsi="宋体" w:eastAsia="楷体_GB2312" w:cs="宋体"/>
          <w:b/>
          <w:kern w:val="0"/>
          <w:sz w:val="32"/>
          <w:szCs w:val="32"/>
          <w:lang w:val="en-US" w:eastAsia="zh-CN" w:bidi="ar-SA"/>
        </w:rPr>
        <w:t>3.强化提升工作效能</w:t>
      </w:r>
      <w:r>
        <w:rPr>
          <w:rFonts w:hint="eastAsia" w:ascii="楷体_GB2312" w:eastAsia="楷体_GB2312" w:cs="宋体"/>
          <w:b/>
          <w:kern w:val="0"/>
          <w:sz w:val="32"/>
          <w:szCs w:val="32"/>
          <w:lang w:val="en-US" w:eastAsia="zh-CN" w:bidi="ar-SA"/>
        </w:rPr>
        <w:t>。</w:t>
      </w:r>
      <w:r>
        <w:rPr>
          <w:rFonts w:hint="eastAsia" w:ascii="Calibri" w:hAnsi="Calibri" w:eastAsia="仿宋_GB2312" w:cs="Times New Roman"/>
          <w:color w:val="000000"/>
          <w:spacing w:val="-10"/>
          <w:kern w:val="2"/>
          <w:sz w:val="32"/>
          <w:szCs w:val="32"/>
          <w:shd w:val="clear" w:color="auto" w:fill="FFFFFF"/>
          <w:lang w:val="en-US" w:eastAsia="zh-CN" w:bidi="ar-SA"/>
        </w:rPr>
        <w:t>按照文件工作要求，凡与</w:t>
      </w:r>
      <w:r>
        <w:rPr>
          <w:rFonts w:hint="eastAsia" w:eastAsia="仿宋_GB2312" w:cs="Times New Roman"/>
          <w:color w:val="000000"/>
          <w:spacing w:val="-10"/>
          <w:kern w:val="2"/>
          <w:sz w:val="32"/>
          <w:szCs w:val="32"/>
          <w:shd w:val="clear" w:color="auto" w:fill="FFFFFF"/>
          <w:lang w:val="en-US" w:eastAsia="zh-CN" w:bidi="ar-SA"/>
        </w:rPr>
        <w:t>工</w:t>
      </w:r>
      <w:r>
        <w:rPr>
          <w:rFonts w:hint="eastAsia" w:ascii="Calibri" w:hAnsi="Calibri" w:eastAsia="仿宋_GB2312" w:cs="Times New Roman"/>
          <w:color w:val="000000"/>
          <w:spacing w:val="-10"/>
          <w:kern w:val="2"/>
          <w:sz w:val="32"/>
          <w:szCs w:val="32"/>
          <w:shd w:val="clear" w:color="auto" w:fill="FFFFFF"/>
          <w:lang w:val="en-US" w:eastAsia="zh-CN" w:bidi="ar-SA"/>
        </w:rPr>
        <w:t>信工作相关的政府信息均主动公开或依申请予以公开。加强管理，优化信息公开渠道</w:t>
      </w:r>
      <w:r>
        <w:rPr>
          <w:rFonts w:hint="eastAsia" w:eastAsia="仿宋_GB2312" w:cs="Times New Roman"/>
          <w:color w:val="000000"/>
          <w:spacing w:val="-10"/>
          <w:kern w:val="2"/>
          <w:sz w:val="32"/>
          <w:szCs w:val="32"/>
          <w:shd w:val="clear" w:color="auto" w:fill="FFFFFF"/>
          <w:lang w:val="en-US" w:eastAsia="zh-CN" w:bidi="ar-SA"/>
        </w:rPr>
        <w:t>。</w:t>
      </w:r>
      <w:r>
        <w:rPr>
          <w:rFonts w:hint="eastAsia" w:ascii="Calibri" w:hAnsi="Calibri" w:eastAsia="仿宋_GB2312" w:cs="Times New Roman"/>
          <w:color w:val="000000"/>
          <w:spacing w:val="-10"/>
          <w:kern w:val="2"/>
          <w:sz w:val="32"/>
          <w:szCs w:val="32"/>
          <w:shd w:val="clear" w:color="auto" w:fill="FFFFFF"/>
          <w:lang w:val="en-US" w:eastAsia="zh-CN" w:bidi="ar-SA"/>
        </w:rPr>
        <w:t>明确推行政府信息公开工作的时限，按照“合法、全面、准确、及时”的要求公开政府信息，并对已公开的政府信息发生变化或失效时及时更新。</w:t>
      </w:r>
    </w:p>
    <w:p>
      <w:pPr>
        <w:pStyle w:val="8"/>
        <w:keepNext w:val="0"/>
        <w:keepLines w:val="0"/>
        <w:widowControl/>
        <w:suppressLineNumbers w:val="0"/>
        <w:spacing w:before="0" w:beforeAutospacing="0" w:after="0" w:afterAutospacing="0" w:line="400" w:lineRule="atLeast"/>
        <w:ind w:firstLine="643" w:firstLineChars="200"/>
        <w:rPr>
          <w:rFonts w:hint="eastAsia" w:ascii="Calibri" w:hAnsi="Calibri" w:eastAsia="仿宋_GB2312" w:cs="Times New Roman"/>
          <w:color w:val="000000"/>
          <w:spacing w:val="-10"/>
          <w:kern w:val="2"/>
          <w:sz w:val="32"/>
          <w:szCs w:val="32"/>
          <w:shd w:val="clear" w:color="auto" w:fill="FFFFFF"/>
          <w:lang w:val="en-US" w:eastAsia="zh-CN" w:bidi="ar-SA"/>
        </w:rPr>
      </w:pPr>
      <w:r>
        <w:rPr>
          <w:rFonts w:hint="eastAsia" w:ascii="楷体_GB2312" w:hAnsi="宋体" w:eastAsia="楷体_GB2312" w:cs="宋体"/>
          <w:b/>
          <w:kern w:val="0"/>
          <w:sz w:val="32"/>
          <w:szCs w:val="32"/>
          <w:lang w:val="en-US" w:eastAsia="zh-CN" w:bidi="ar-SA"/>
        </w:rPr>
        <w:t>4.增</w:t>
      </w:r>
      <w:r>
        <w:rPr>
          <w:rFonts w:hint="eastAsia" w:ascii="楷体_GB2312" w:eastAsia="楷体_GB2312" w:cs="宋体"/>
          <w:b/>
          <w:kern w:val="0"/>
          <w:sz w:val="32"/>
          <w:szCs w:val="32"/>
          <w:lang w:val="en-US" w:eastAsia="zh-CN" w:bidi="ar-SA"/>
        </w:rPr>
        <w:t>加</w:t>
      </w:r>
      <w:r>
        <w:rPr>
          <w:rFonts w:hint="eastAsia" w:ascii="楷体_GB2312" w:hAnsi="宋体" w:eastAsia="楷体_GB2312" w:cs="宋体"/>
          <w:b/>
          <w:kern w:val="0"/>
          <w:sz w:val="32"/>
          <w:szCs w:val="32"/>
          <w:lang w:val="en-US" w:eastAsia="zh-CN" w:bidi="ar-SA"/>
        </w:rPr>
        <w:t>信息宣传渠道。</w:t>
      </w:r>
      <w:r>
        <w:rPr>
          <w:rFonts w:hint="eastAsia" w:ascii="Calibri" w:hAnsi="Calibri" w:eastAsia="仿宋_GB2312" w:cs="Times New Roman"/>
          <w:color w:val="000000"/>
          <w:spacing w:val="-10"/>
          <w:kern w:val="2"/>
          <w:sz w:val="32"/>
          <w:szCs w:val="32"/>
          <w:shd w:val="clear" w:color="auto" w:fill="FFFFFF"/>
          <w:lang w:val="en-US" w:eastAsia="zh-CN" w:bidi="ar-SA"/>
        </w:rPr>
        <w:t>加强与社会的信息互动，提高宣传力度，通过政府门户网站、政务内网、局</w:t>
      </w:r>
      <w:r>
        <w:rPr>
          <w:rFonts w:hint="eastAsia" w:eastAsia="仿宋_GB2312" w:cs="Times New Roman"/>
          <w:color w:val="000000"/>
          <w:spacing w:val="-10"/>
          <w:kern w:val="2"/>
          <w:sz w:val="32"/>
          <w:szCs w:val="32"/>
          <w:shd w:val="clear" w:color="auto" w:fill="FFFFFF"/>
          <w:lang w:val="en-US" w:eastAsia="zh-CN" w:bidi="ar-SA"/>
        </w:rPr>
        <w:t>微</w:t>
      </w:r>
      <w:r>
        <w:rPr>
          <w:rFonts w:hint="eastAsia" w:ascii="Calibri" w:hAnsi="Calibri" w:eastAsia="仿宋_GB2312" w:cs="Times New Roman"/>
          <w:color w:val="000000"/>
          <w:spacing w:val="-10"/>
          <w:kern w:val="2"/>
          <w:sz w:val="32"/>
          <w:szCs w:val="32"/>
          <w:shd w:val="clear" w:color="auto" w:fill="FFFFFF"/>
          <w:lang w:val="en-US" w:eastAsia="zh-CN" w:bidi="ar-SA"/>
        </w:rPr>
        <w:t>信群等多种方式，在局内部和全社会宣传我局政府信息公开工作。</w:t>
      </w:r>
    </w:p>
    <w:p>
      <w:pPr>
        <w:pStyle w:val="8"/>
        <w:keepNext w:val="0"/>
        <w:keepLines w:val="0"/>
        <w:widowControl/>
        <w:suppressLineNumbers w:val="0"/>
        <w:spacing w:before="0" w:beforeAutospacing="0" w:after="0" w:afterAutospacing="0" w:line="400" w:lineRule="atLeast"/>
        <w:ind w:firstLine="643" w:firstLineChars="200"/>
        <w:rPr>
          <w:rFonts w:hint="default" w:eastAsia="仿宋_GB2312"/>
          <w:color w:val="000000"/>
          <w:spacing w:val="-10"/>
          <w:sz w:val="32"/>
          <w:szCs w:val="32"/>
          <w:shd w:val="clear" w:color="auto" w:fill="FFFFFF"/>
          <w:lang w:val="en-US" w:eastAsia="zh-CN"/>
        </w:rPr>
      </w:pPr>
      <w:r>
        <w:rPr>
          <w:rFonts w:hint="eastAsia" w:ascii="楷体_GB2312" w:hAnsi="宋体" w:eastAsia="楷体_GB2312" w:cs="宋体"/>
          <w:b/>
          <w:kern w:val="0"/>
          <w:sz w:val="32"/>
          <w:szCs w:val="32"/>
          <w:lang w:val="en-US" w:eastAsia="zh-CN" w:bidi="ar-SA"/>
        </w:rPr>
        <w:t>5.紧抓工作监督落实。</w:t>
      </w:r>
      <w:r>
        <w:rPr>
          <w:rFonts w:hint="eastAsia" w:ascii="Calibri" w:hAnsi="Calibri" w:eastAsia="仿宋_GB2312" w:cs="Times New Roman"/>
          <w:color w:val="000000"/>
          <w:spacing w:val="-10"/>
          <w:kern w:val="2"/>
          <w:sz w:val="32"/>
          <w:szCs w:val="32"/>
          <w:shd w:val="clear" w:color="auto" w:fill="FFFFFF"/>
          <w:lang w:val="en-US" w:eastAsia="zh-CN" w:bidi="ar-SA"/>
        </w:rPr>
        <w:t>按时将应该主动公开的信息及时在政府信息公开网站上公开，并定期对本部门的该项工作开展相关督查工作和专项督查工作，注重实效。</w:t>
      </w:r>
    </w:p>
    <w:p>
      <w:pPr>
        <w:widowControl/>
        <w:spacing w:line="594"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（二）行政机关主动公开政府信息情况。</w:t>
      </w:r>
    </w:p>
    <w:p>
      <w:pPr>
        <w:widowControl/>
        <w:spacing w:line="594" w:lineRule="exact"/>
        <w:ind w:firstLine="600" w:firstLineChars="200"/>
        <w:rPr>
          <w:rFonts w:hint="eastAsia" w:ascii="楷体_GB2312" w:hAnsi="宋体" w:eastAsia="楷体_GB2312" w:cs="宋体"/>
          <w:b/>
          <w:kern w:val="0"/>
          <w:sz w:val="32"/>
          <w:szCs w:val="32"/>
        </w:rPr>
      </w:pPr>
      <w:r>
        <w:rPr>
          <w:rFonts w:eastAsia="仿宋_GB2312"/>
          <w:color w:val="000000"/>
          <w:spacing w:val="-10"/>
          <w:sz w:val="32"/>
          <w:szCs w:val="32"/>
          <w:shd w:val="clear" w:color="auto" w:fill="FFFFFF"/>
        </w:rPr>
        <w:t>20</w:t>
      </w:r>
      <w:r>
        <w:rPr>
          <w:rFonts w:hint="eastAsia" w:eastAsia="仿宋_GB2312"/>
          <w:color w:val="000000"/>
          <w:spacing w:val="-10"/>
          <w:sz w:val="32"/>
          <w:szCs w:val="32"/>
          <w:shd w:val="clear" w:color="auto" w:fill="FFFFFF"/>
          <w:lang w:val="en-US" w:eastAsia="zh-CN"/>
        </w:rPr>
        <w:t>20</w:t>
      </w:r>
      <w:r>
        <w:rPr>
          <w:rFonts w:eastAsia="仿宋_GB2312"/>
          <w:color w:val="000000"/>
          <w:spacing w:val="-10"/>
          <w:sz w:val="32"/>
          <w:szCs w:val="32"/>
          <w:shd w:val="clear" w:color="auto" w:fill="FFFFFF"/>
        </w:rPr>
        <w:t>年，我局主动公开政府信息</w:t>
      </w:r>
      <w:r>
        <w:rPr>
          <w:rFonts w:hint="eastAsia" w:eastAsia="仿宋_GB2312"/>
          <w:color w:val="000000"/>
          <w:spacing w:val="-10"/>
          <w:sz w:val="32"/>
          <w:szCs w:val="32"/>
          <w:shd w:val="clear" w:color="auto" w:fill="FFFFFF"/>
          <w:lang w:val="en-US" w:eastAsia="zh-CN"/>
        </w:rPr>
        <w:t>25</w:t>
      </w:r>
      <w:r>
        <w:rPr>
          <w:rFonts w:eastAsia="仿宋_GB2312"/>
          <w:color w:val="000000"/>
          <w:spacing w:val="-10"/>
          <w:sz w:val="32"/>
          <w:szCs w:val="32"/>
          <w:shd w:val="clear" w:color="auto" w:fill="FFFFFF"/>
        </w:rPr>
        <w:t>条。</w:t>
      </w:r>
      <w:r>
        <w:rPr>
          <w:rFonts w:hint="eastAsia" w:eastAsia="仿宋_GB2312"/>
          <w:color w:val="000000"/>
          <w:spacing w:val="-10"/>
          <w:sz w:val="32"/>
          <w:szCs w:val="32"/>
          <w:shd w:val="clear" w:color="auto" w:fill="FFFFFF"/>
          <w:lang w:eastAsia="zh-CN"/>
        </w:rPr>
        <w:t>其中机构、职能、人事类</w:t>
      </w:r>
      <w:r>
        <w:rPr>
          <w:rFonts w:hint="eastAsia" w:eastAsia="仿宋_GB2312"/>
          <w:color w:val="000000"/>
          <w:spacing w:val="-10"/>
          <w:sz w:val="32"/>
          <w:szCs w:val="32"/>
          <w:shd w:val="clear" w:color="auto" w:fill="FFFFFF"/>
          <w:lang w:val="en-US" w:eastAsia="zh-CN"/>
        </w:rPr>
        <w:t>2条；业务公文类16条；制度、规章类0条；其他政府公开信息类7条。</w:t>
      </w:r>
    </w:p>
    <w:p>
      <w:pPr>
        <w:widowControl/>
        <w:spacing w:line="594"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（三）行政机关收到和处理政府信息公开申请情况。</w:t>
      </w:r>
    </w:p>
    <w:p>
      <w:pPr>
        <w:rPr>
          <w:rFonts w:eastAsia="仿宋_GB2312"/>
          <w:color w:val="000000"/>
          <w:spacing w:val="-10"/>
          <w:sz w:val="32"/>
          <w:szCs w:val="32"/>
          <w:shd w:val="clear" w:color="auto" w:fill="FFFFFF"/>
        </w:rPr>
      </w:pPr>
      <w:r>
        <w:rPr>
          <w:rFonts w:eastAsia="仿宋_GB2312"/>
          <w:color w:val="000000"/>
          <w:spacing w:val="-10"/>
          <w:sz w:val="32"/>
          <w:szCs w:val="32"/>
          <w:shd w:val="clear" w:color="auto" w:fill="FFFFFF"/>
        </w:rPr>
        <w:t>       20</w:t>
      </w:r>
      <w:r>
        <w:rPr>
          <w:rFonts w:hint="eastAsia" w:eastAsia="仿宋_GB2312"/>
          <w:color w:val="000000"/>
          <w:spacing w:val="-10"/>
          <w:sz w:val="32"/>
          <w:szCs w:val="32"/>
          <w:shd w:val="clear" w:color="auto" w:fill="FFFFFF"/>
          <w:lang w:val="en-US" w:eastAsia="zh-CN"/>
        </w:rPr>
        <w:t>20</w:t>
      </w:r>
      <w:r>
        <w:rPr>
          <w:rFonts w:eastAsia="仿宋_GB2312"/>
          <w:color w:val="000000"/>
          <w:spacing w:val="-10"/>
          <w:sz w:val="32"/>
          <w:szCs w:val="32"/>
          <w:shd w:val="clear" w:color="auto" w:fill="FFFFFF"/>
        </w:rPr>
        <w:t>年，我局没有依申请公开度办理政府信息的情况。</w:t>
      </w:r>
    </w:p>
    <w:p>
      <w:pPr>
        <w:widowControl/>
        <w:spacing w:line="594" w:lineRule="exact"/>
        <w:ind w:firstLine="643" w:firstLineChars="200"/>
        <w:rPr>
          <w:rFonts w:hint="eastAsia" w:ascii="楷体_GB2312" w:hAnsi="宋体" w:eastAsia="楷体_GB2312" w:cs="宋体"/>
          <w:b/>
          <w:kern w:val="0"/>
          <w:sz w:val="32"/>
          <w:szCs w:val="32"/>
        </w:rPr>
      </w:pPr>
    </w:p>
    <w:p>
      <w:pPr>
        <w:widowControl/>
        <w:spacing w:line="594"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（四）因政府信息公开工作被申请行政复议、提起行政诉讼情况。</w:t>
      </w:r>
    </w:p>
    <w:p>
      <w:pPr>
        <w:widowControl/>
        <w:spacing w:line="594" w:lineRule="exact"/>
        <w:ind w:firstLine="600" w:firstLineChars="200"/>
        <w:rPr>
          <w:rFonts w:hint="eastAsia" w:ascii="楷体_GB2312" w:hAnsi="宋体" w:eastAsia="楷体_GB2312" w:cs="宋体"/>
          <w:kern w:val="0"/>
          <w:sz w:val="32"/>
          <w:szCs w:val="32"/>
        </w:rPr>
      </w:pPr>
      <w:r>
        <w:rPr>
          <w:rFonts w:eastAsia="仿宋_GB2312"/>
          <w:color w:val="000000"/>
          <w:spacing w:val="-10"/>
          <w:sz w:val="32"/>
          <w:szCs w:val="32"/>
          <w:shd w:val="clear" w:color="auto" w:fill="FFFFFF"/>
        </w:rPr>
        <w:t>20</w:t>
      </w:r>
      <w:r>
        <w:rPr>
          <w:rFonts w:hint="eastAsia" w:eastAsia="仿宋_GB2312"/>
          <w:color w:val="000000"/>
          <w:spacing w:val="-10"/>
          <w:sz w:val="32"/>
          <w:szCs w:val="32"/>
          <w:shd w:val="clear" w:color="auto" w:fill="FFFFFF"/>
          <w:lang w:val="en-US" w:eastAsia="zh-CN"/>
        </w:rPr>
        <w:t>20</w:t>
      </w:r>
      <w:r>
        <w:rPr>
          <w:rFonts w:eastAsia="仿宋_GB2312"/>
          <w:color w:val="000000"/>
          <w:spacing w:val="-10"/>
          <w:sz w:val="32"/>
          <w:szCs w:val="32"/>
          <w:shd w:val="clear" w:color="auto" w:fill="FFFFFF"/>
        </w:rPr>
        <w:t>年度我局尚未发生被申请行政复议、行政诉讼和行政申诉的案例。</w:t>
      </w:r>
    </w:p>
    <w:p>
      <w:pPr>
        <w:widowControl/>
        <w:spacing w:line="594"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（五）政府信息公开工作存在的主要问题及改进情况。</w:t>
      </w:r>
    </w:p>
    <w:p>
      <w:pPr>
        <w:widowControl/>
        <w:spacing w:line="594" w:lineRule="exact"/>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无</w:t>
      </w:r>
    </w:p>
    <w:p>
      <w:pPr>
        <w:widowControl/>
        <w:spacing w:line="594"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（六）其他需要报告的事项。</w:t>
      </w:r>
    </w:p>
    <w:p>
      <w:pPr>
        <w:widowControl/>
        <w:spacing w:line="594" w:lineRule="exact"/>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val="en-US" w:eastAsia="zh-CN"/>
        </w:rPr>
        <w:t>无</w:t>
      </w:r>
    </w:p>
    <w:p>
      <w:pPr>
        <w:widowControl/>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二、主动公开政府信息情况</w:t>
      </w:r>
    </w:p>
    <w:tbl>
      <w:tblPr>
        <w:tblStyle w:val="9"/>
        <w:tblW w:w="8140" w:type="dxa"/>
        <w:jc w:val="center"/>
        <w:tblLayout w:type="autofit"/>
        <w:tblCellMar>
          <w:top w:w="0" w:type="dxa"/>
          <w:left w:w="108" w:type="dxa"/>
          <w:bottom w:w="0" w:type="dxa"/>
          <w:right w:w="108" w:type="dxa"/>
        </w:tblCellMar>
      </w:tblPr>
      <w:tblGrid>
        <w:gridCol w:w="3113"/>
        <w:gridCol w:w="1875"/>
        <w:gridCol w:w="6"/>
        <w:gridCol w:w="1265"/>
        <w:gridCol w:w="1881"/>
      </w:tblGrid>
      <w:tr>
        <w:tblPrEx>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本年新</w:t>
            </w:r>
            <w:r>
              <w:rPr>
                <w:rFonts w:ascii="宋体" w:cs="Times New Roman"/>
                <w:color w:val="000000"/>
                <w:kern w:val="0"/>
                <w:sz w:val="20"/>
                <w:szCs w:val="20"/>
              </w:rPr>
              <w:br w:type="textWrapping"/>
            </w:r>
            <w:r>
              <w:rPr>
                <w:rFonts w:hint="eastAsia" w:ascii="宋体" w:hAnsi="宋体" w:cs="宋体"/>
                <w:kern w:val="0"/>
                <w:sz w:val="20"/>
                <w:szCs w:val="20"/>
              </w:rPr>
              <w:t>制作数量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本年新</w:t>
            </w:r>
            <w:r>
              <w:rPr>
                <w:rFonts w:ascii="宋体" w:cs="Times New Roman"/>
                <w:color w:val="000000"/>
                <w:kern w:val="0"/>
                <w:sz w:val="20"/>
                <w:szCs w:val="20"/>
              </w:rPr>
              <w:br w:type="textWrapping"/>
            </w:r>
            <w:r>
              <w:rPr>
                <w:rFonts w:hint="eastAsia" w:ascii="宋体" w:hAnsi="宋体" w:cs="宋体"/>
                <w:kern w:val="0"/>
                <w:sz w:val="20"/>
                <w:szCs w:val="20"/>
              </w:rPr>
              <w:t>公开数量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规章</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0</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ascii="宋体" w:cs="Times New Roman"/>
                <w:color w:val="000000"/>
                <w:kern w:val="0"/>
                <w:sz w:val="20"/>
                <w:szCs w:val="20"/>
              </w:rPr>
              <w:t> </w:t>
            </w:r>
            <w:r>
              <w:rPr>
                <w:rFonts w:hint="eastAsia" w:ascii="宋体" w:cs="Times New Roman"/>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规范性文件</w:t>
            </w:r>
          </w:p>
        </w:tc>
        <w:tc>
          <w:tcPr>
            <w:tcW w:w="1875"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4" w:space="0"/>
              <w:right w:val="single" w:color="auto" w:sz="4" w:space="0"/>
            </w:tcBorders>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ascii="宋体" w:cs="Times New Roman"/>
                <w:color w:val="000000"/>
                <w:kern w:val="0"/>
                <w:sz w:val="20"/>
                <w:szCs w:val="20"/>
              </w:rPr>
              <w:t> </w:t>
            </w:r>
            <w:r>
              <w:rPr>
                <w:rFonts w:hint="eastAsia" w:ascii="宋体" w:cs="Times New Roman"/>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行政处罚</w:t>
            </w:r>
          </w:p>
        </w:tc>
        <w:tc>
          <w:tcPr>
            <w:tcW w:w="1881"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265"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上一年项目数量</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cs="Times New Roman"/>
                <w:color w:val="000000"/>
                <w:kern w:val="0"/>
                <w:sz w:val="20"/>
                <w:szCs w:val="20"/>
                <w:lang w:val="en-US" w:eastAsia="zh-CN"/>
              </w:rPr>
              <w:t>0</w:t>
            </w:r>
            <w:r>
              <w:rPr>
                <w:rFonts w:ascii="宋体" w:cs="Times New Roman"/>
                <w:color w:val="000000"/>
                <w:kern w:val="0"/>
                <w:sz w:val="20"/>
                <w:szCs w:val="20"/>
              </w:rPr>
              <w:t> </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采购项目数量</w:t>
            </w:r>
          </w:p>
        </w:tc>
        <w:tc>
          <w:tcPr>
            <w:tcW w:w="3146"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00" w:afterAutospacing="1"/>
              <w:jc w:val="left"/>
              <w:rPr>
                <w:rFonts w:ascii="宋体" w:cs="Times New Roman"/>
                <w:kern w:val="0"/>
                <w:sz w:val="24"/>
                <w:szCs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00" w:afterAutospacing="1"/>
              <w:jc w:val="left"/>
              <w:rPr>
                <w:rFonts w:hint="eastAsia" w:ascii="宋体" w:eastAsia="宋体" w:cs="Times New Roman"/>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46" w:type="dxa"/>
            <w:gridSpan w:val="2"/>
            <w:tcBorders>
              <w:top w:val="single" w:color="auto" w:sz="4" w:space="0"/>
              <w:left w:val="nil"/>
              <w:bottom w:val="single" w:color="auto" w:sz="4" w:space="0"/>
              <w:right w:val="single" w:color="000000" w:sz="4" w:space="0"/>
            </w:tcBorders>
            <w:noWrap/>
            <w:vAlign w:val="center"/>
          </w:tcPr>
          <w:p>
            <w:pPr>
              <w:widowControl/>
              <w:jc w:val="left"/>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bl>
    <w:p>
      <w:pPr>
        <w:widowControl/>
        <w:ind w:firstLine="480"/>
        <w:rPr>
          <w:rFonts w:ascii="宋体" w:cs="Times New Roman"/>
          <w:kern w:val="0"/>
          <w:sz w:val="24"/>
          <w:szCs w:val="24"/>
        </w:rPr>
      </w:pPr>
    </w:p>
    <w:p>
      <w:pPr>
        <w:widowControl/>
        <w:ind w:firstLine="480"/>
        <w:rPr>
          <w:rFonts w:hint="eastAsia" w:ascii="黑体" w:hAnsi="黑体" w:eastAsia="黑体" w:cs="黑体"/>
          <w:kern w:val="0"/>
          <w:sz w:val="32"/>
          <w:szCs w:val="32"/>
        </w:rPr>
      </w:pPr>
      <w:r>
        <w:rPr>
          <w:rFonts w:hint="eastAsia" w:ascii="黑体" w:hAnsi="黑体" w:eastAsia="黑体" w:cs="黑体"/>
          <w:kern w:val="0"/>
          <w:sz w:val="32"/>
          <w:szCs w:val="32"/>
        </w:rPr>
        <w:t>三、收到和处理政府信息公开申请情况</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restart"/>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（本列数据的勾稽关系为：第一项加第二项之和，等于第三项加第四项之和）</w:t>
            </w:r>
          </w:p>
        </w:tc>
        <w:tc>
          <w:tcPr>
            <w:tcW w:w="5592" w:type="dxa"/>
            <w:gridSpan w:val="7"/>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4" w:type="dxa"/>
            <w:gridSpan w:val="3"/>
            <w:vMerge w:val="continue"/>
            <w:vAlign w:val="center"/>
          </w:tcPr>
          <w:p>
            <w:pPr>
              <w:widowControl/>
              <w:jc w:val="left"/>
              <w:rPr>
                <w:rFonts w:ascii="宋体" w:cs="Times New Roman"/>
                <w:kern w:val="0"/>
                <w:sz w:val="24"/>
                <w:szCs w:val="24"/>
              </w:rPr>
            </w:pPr>
          </w:p>
        </w:tc>
        <w:tc>
          <w:tcPr>
            <w:tcW w:w="825" w:type="dxa"/>
            <w:vMerge w:val="restart"/>
            <w:tcBorders>
              <w:top w:val="nil"/>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自然人</w:t>
            </w:r>
          </w:p>
        </w:tc>
        <w:tc>
          <w:tcPr>
            <w:tcW w:w="4065" w:type="dxa"/>
            <w:gridSpan w:val="5"/>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法人或其他组织</w:t>
            </w:r>
          </w:p>
        </w:tc>
        <w:tc>
          <w:tcPr>
            <w:tcW w:w="702" w:type="dxa"/>
            <w:vMerge w:val="restart"/>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4" w:type="dxa"/>
            <w:gridSpan w:val="3"/>
            <w:vMerge w:val="continue"/>
            <w:vAlign w:val="center"/>
          </w:tcPr>
          <w:p>
            <w:pPr>
              <w:widowControl/>
              <w:jc w:val="left"/>
              <w:rPr>
                <w:rFonts w:ascii="宋体" w:cs="Times New Roman"/>
                <w:kern w:val="0"/>
                <w:sz w:val="24"/>
                <w:szCs w:val="24"/>
              </w:rPr>
            </w:pPr>
          </w:p>
        </w:tc>
        <w:tc>
          <w:tcPr>
            <w:tcW w:w="5592" w:type="dxa"/>
            <w:vMerge w:val="continue"/>
            <w:tcBorders>
              <w:top w:val="nil"/>
              <w:left w:val="nil"/>
            </w:tcBorders>
            <w:vAlign w:val="center"/>
          </w:tcPr>
          <w:p>
            <w:pPr>
              <w:widowControl/>
              <w:jc w:val="left"/>
              <w:rPr>
                <w:rFonts w:ascii="宋体" w:cs="Times New Roman"/>
                <w:kern w:val="0"/>
                <w:sz w:val="24"/>
                <w:szCs w:val="24"/>
              </w:rPr>
            </w:pP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商业企业</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科研机构</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社会公益组织</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法律服务机构</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w:t>
            </w:r>
          </w:p>
        </w:tc>
        <w:tc>
          <w:tcPr>
            <w:tcW w:w="702" w:type="dxa"/>
            <w:vMerge w:val="continue"/>
            <w:tcBorders>
              <w:left w:val="nil"/>
            </w:tcBorders>
            <w:vAlign w:val="center"/>
          </w:tcPr>
          <w:p>
            <w:pPr>
              <w:widowControl/>
              <w:jc w:val="left"/>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一、本年新收政府信息公开申请数量</w:t>
            </w:r>
          </w:p>
        </w:tc>
        <w:tc>
          <w:tcPr>
            <w:tcW w:w="82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6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6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二、上年结转政府信息公开申请数量</w:t>
            </w:r>
          </w:p>
        </w:tc>
        <w:tc>
          <w:tcPr>
            <w:tcW w:w="82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6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6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82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三、本年度办理结果</w:t>
            </w:r>
          </w:p>
        </w:tc>
        <w:tc>
          <w:tcPr>
            <w:tcW w:w="2985" w:type="dxa"/>
            <w:gridSpan w:val="2"/>
            <w:tcBorders>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（一）予以公开</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gridSpan w:val="2"/>
            <w:tcBorders>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（二）部分公开（区分处理的，只计这一情形，不计其他情形）</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855" w:type="dxa"/>
            <w:vMerge w:val="restart"/>
            <w:tcBorders>
              <w:top w:val="nil"/>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（三）不予公开</w:t>
            </w: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属于国家秘密</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其他法律行政法规禁止公开</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危及“三安全一稳定”</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4.</w:t>
            </w:r>
            <w:r>
              <w:rPr>
                <w:rFonts w:hint="eastAsia" w:ascii="楷体" w:hAnsi="楷体" w:eastAsia="楷体" w:cs="楷体"/>
                <w:sz w:val="20"/>
                <w:szCs w:val="20"/>
              </w:rPr>
              <w:t>保护第三方合法权益</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5.</w:t>
            </w:r>
            <w:r>
              <w:rPr>
                <w:rFonts w:hint="eastAsia" w:ascii="楷体" w:hAnsi="楷体" w:eastAsia="楷体" w:cs="楷体"/>
                <w:sz w:val="20"/>
                <w:szCs w:val="20"/>
              </w:rPr>
              <w:t>属于三类内部事务信息</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6.</w:t>
            </w:r>
            <w:r>
              <w:rPr>
                <w:rFonts w:hint="eastAsia" w:ascii="楷体" w:hAnsi="楷体" w:eastAsia="楷体" w:cs="楷体"/>
                <w:sz w:val="20"/>
                <w:szCs w:val="20"/>
              </w:rPr>
              <w:t>属于四类过程性信息</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7.</w:t>
            </w:r>
            <w:r>
              <w:rPr>
                <w:rFonts w:hint="eastAsia" w:ascii="楷体" w:hAnsi="楷体" w:eastAsia="楷体" w:cs="楷体"/>
                <w:sz w:val="20"/>
                <w:szCs w:val="20"/>
              </w:rPr>
              <w:t>属于行政执法案卷</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8.</w:t>
            </w:r>
            <w:r>
              <w:rPr>
                <w:rFonts w:hint="eastAsia" w:ascii="楷体" w:hAnsi="楷体" w:eastAsia="楷体" w:cs="楷体"/>
                <w:sz w:val="20"/>
                <w:szCs w:val="20"/>
              </w:rPr>
              <w:t>属于行政查询事项</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855" w:type="dxa"/>
            <w:vMerge w:val="restart"/>
            <w:tcBorders>
              <w:top w:val="nil"/>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（四）无法提供</w:t>
            </w: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本机关不掌握相关政府信息</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没有现成信息需要另行制作</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补正后申请内容仍不明确</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855" w:type="dxa"/>
            <w:vMerge w:val="restart"/>
            <w:tcBorders>
              <w:top w:val="nil"/>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（五）不予处理</w:t>
            </w: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信访举报投诉类申请</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重复申请</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要求提供公开出版物</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4.</w:t>
            </w:r>
            <w:r>
              <w:rPr>
                <w:rFonts w:hint="eastAsia" w:ascii="楷体" w:hAnsi="楷体" w:eastAsia="楷体" w:cs="楷体"/>
                <w:sz w:val="20"/>
                <w:szCs w:val="20"/>
              </w:rPr>
              <w:t>无正当理由大量反复申请</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vMerge w:val="continue"/>
            <w:tcBorders>
              <w:top w:val="nil"/>
              <w:left w:val="nil"/>
            </w:tcBorders>
            <w:vAlign w:val="center"/>
          </w:tcPr>
          <w:p>
            <w:pPr>
              <w:widowControl/>
              <w:jc w:val="left"/>
              <w:rPr>
                <w:rFonts w:ascii="宋体" w:cs="Times New Roman"/>
                <w:kern w:val="0"/>
                <w:sz w:val="24"/>
                <w:szCs w:val="24"/>
              </w:rPr>
            </w:pPr>
          </w:p>
        </w:tc>
        <w:tc>
          <w:tcPr>
            <w:tcW w:w="2130" w:type="dxa"/>
            <w:tcBorders>
              <w:left w:val="nil"/>
            </w:tcBorders>
            <w:vAlign w:val="center"/>
          </w:tcPr>
          <w:p>
            <w:pPr>
              <w:widowControl/>
              <w:spacing w:before="100" w:beforeAutospacing="1" w:after="100" w:afterAutospacing="1"/>
              <w:jc w:val="left"/>
              <w:rPr>
                <w:rFonts w:ascii="宋体" w:cs="Times New Roman"/>
                <w:kern w:val="0"/>
                <w:sz w:val="24"/>
                <w:szCs w:val="24"/>
              </w:rPr>
            </w:pPr>
            <w:r>
              <w:rPr>
                <w:rFonts w:ascii="楷体" w:hAnsi="楷体" w:eastAsia="楷体" w:cs="楷体"/>
                <w:sz w:val="20"/>
                <w:szCs w:val="20"/>
              </w:rPr>
              <w:t>5.</w:t>
            </w:r>
            <w:r>
              <w:rPr>
                <w:rFonts w:hint="eastAsia" w:ascii="楷体" w:hAnsi="楷体" w:eastAsia="楷体" w:cs="楷体"/>
                <w:sz w:val="20"/>
                <w:szCs w:val="20"/>
              </w:rPr>
              <w:t>要求行政机关确认或重新出具已获取信息</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gridSpan w:val="2"/>
            <w:tcBorders>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（六）其他处理</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vMerge w:val="continue"/>
            <w:tcBorders>
              <w:top w:val="nil"/>
            </w:tcBorders>
            <w:vAlign w:val="center"/>
          </w:tcPr>
          <w:p>
            <w:pPr>
              <w:widowControl/>
              <w:jc w:val="left"/>
              <w:rPr>
                <w:rFonts w:ascii="宋体" w:cs="Times New Roman"/>
                <w:kern w:val="0"/>
                <w:sz w:val="24"/>
                <w:szCs w:val="24"/>
              </w:rPr>
            </w:pPr>
          </w:p>
        </w:tc>
        <w:tc>
          <w:tcPr>
            <w:tcW w:w="2985" w:type="dxa"/>
            <w:gridSpan w:val="2"/>
            <w:tcBorders>
              <w:left w:val="nil"/>
            </w:tcBorders>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（七）总计</w:t>
            </w:r>
          </w:p>
        </w:tc>
        <w:tc>
          <w:tcPr>
            <w:tcW w:w="82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20"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02"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四、结转下年度继续办理</w:t>
            </w:r>
          </w:p>
        </w:tc>
        <w:tc>
          <w:tcPr>
            <w:tcW w:w="82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6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82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990"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72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702" w:type="dxa"/>
            <w:tcBorders>
              <w:left w:val="nil"/>
            </w:tcBorders>
            <w:vAlign w:val="center"/>
          </w:tcPr>
          <w:p>
            <w:pPr>
              <w:widowControl/>
              <w:jc w:val="left"/>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bl>
    <w:p>
      <w:pPr>
        <w:widowControl/>
        <w:ind w:firstLine="480"/>
        <w:rPr>
          <w:rFonts w:ascii="宋体" w:cs="Times New Roman"/>
          <w:kern w:val="0"/>
          <w:sz w:val="24"/>
          <w:szCs w:val="24"/>
        </w:rPr>
      </w:pPr>
    </w:p>
    <w:p>
      <w:pPr>
        <w:widowControl/>
        <w:ind w:firstLine="480"/>
        <w:rPr>
          <w:rFonts w:ascii="宋体" w:cs="Times New Roman"/>
          <w:kern w:val="0"/>
          <w:sz w:val="24"/>
          <w:szCs w:val="24"/>
        </w:rPr>
      </w:pPr>
      <w:r>
        <w:rPr>
          <w:rFonts w:hint="eastAsia" w:ascii="宋体" w:hAnsi="宋体" w:cs="宋体"/>
          <w:kern w:val="0"/>
          <w:sz w:val="24"/>
          <w:szCs w:val="24"/>
        </w:rPr>
        <w:t>四、政府信息公开行政复议、行政诉讼情况</w:t>
      </w:r>
    </w:p>
    <w:p>
      <w:pPr>
        <w:widowControl/>
        <w:ind w:firstLine="480"/>
        <w:rPr>
          <w:rFonts w:ascii="宋体" w:cs="Times New Roman"/>
          <w:kern w:val="0"/>
          <w:sz w:val="24"/>
          <w:szCs w:val="24"/>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行政复议</w:t>
            </w:r>
          </w:p>
        </w:tc>
        <w:tc>
          <w:tcPr>
            <w:tcW w:w="5997" w:type="dxa"/>
            <w:gridSpan w:val="10"/>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结果维持</w:t>
            </w:r>
          </w:p>
        </w:tc>
        <w:tc>
          <w:tcPr>
            <w:tcW w:w="604" w:type="dxa"/>
            <w:vMerge w:val="restart"/>
            <w:tcBorders>
              <w:top w:val="nil"/>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结果纠正</w:t>
            </w:r>
          </w:p>
        </w:tc>
        <w:tc>
          <w:tcPr>
            <w:tcW w:w="604" w:type="dxa"/>
            <w:vMerge w:val="restart"/>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其他结果</w:t>
            </w:r>
          </w:p>
        </w:tc>
        <w:tc>
          <w:tcPr>
            <w:tcW w:w="604" w:type="dxa"/>
            <w:vMerge w:val="restart"/>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尚未审结</w:t>
            </w:r>
          </w:p>
        </w:tc>
        <w:tc>
          <w:tcPr>
            <w:tcW w:w="658" w:type="dxa"/>
            <w:vMerge w:val="restart"/>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总计</w:t>
            </w:r>
          </w:p>
        </w:tc>
        <w:tc>
          <w:tcPr>
            <w:tcW w:w="2970" w:type="dxa"/>
            <w:gridSpan w:val="5"/>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未经复议直接起诉</w:t>
            </w:r>
          </w:p>
        </w:tc>
        <w:tc>
          <w:tcPr>
            <w:tcW w:w="3027" w:type="dxa"/>
            <w:gridSpan w:val="5"/>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tcBorders>
            <w:vAlign w:val="center"/>
          </w:tcPr>
          <w:p>
            <w:pPr>
              <w:widowControl/>
              <w:jc w:val="left"/>
              <w:rPr>
                <w:rFonts w:ascii="宋体" w:cs="Times New Roman"/>
                <w:kern w:val="0"/>
                <w:sz w:val="24"/>
                <w:szCs w:val="24"/>
              </w:rPr>
            </w:pPr>
          </w:p>
        </w:tc>
        <w:tc>
          <w:tcPr>
            <w:tcW w:w="0" w:type="auto"/>
            <w:vMerge w:val="continue"/>
            <w:tcBorders>
              <w:top w:val="nil"/>
              <w:left w:val="nil"/>
            </w:tcBorders>
            <w:vAlign w:val="center"/>
          </w:tcPr>
          <w:p>
            <w:pPr>
              <w:widowControl/>
              <w:jc w:val="left"/>
              <w:rPr>
                <w:rFonts w:ascii="宋体" w:cs="Times New Roman"/>
                <w:kern w:val="0"/>
                <w:sz w:val="24"/>
                <w:szCs w:val="24"/>
              </w:rPr>
            </w:pPr>
          </w:p>
        </w:tc>
        <w:tc>
          <w:tcPr>
            <w:tcW w:w="0" w:type="auto"/>
            <w:vMerge w:val="continue"/>
            <w:tcBorders>
              <w:left w:val="nil"/>
            </w:tcBorders>
            <w:vAlign w:val="center"/>
          </w:tcPr>
          <w:p>
            <w:pPr>
              <w:widowControl/>
              <w:jc w:val="left"/>
              <w:rPr>
                <w:rFonts w:ascii="宋体" w:cs="Times New Roman"/>
                <w:kern w:val="0"/>
                <w:sz w:val="24"/>
                <w:szCs w:val="24"/>
              </w:rPr>
            </w:pPr>
          </w:p>
        </w:tc>
        <w:tc>
          <w:tcPr>
            <w:tcW w:w="0" w:type="auto"/>
            <w:vMerge w:val="continue"/>
            <w:tcBorders>
              <w:left w:val="nil"/>
            </w:tcBorders>
            <w:vAlign w:val="center"/>
          </w:tcPr>
          <w:p>
            <w:pPr>
              <w:widowControl/>
              <w:jc w:val="left"/>
              <w:rPr>
                <w:rFonts w:ascii="宋体" w:cs="Times New Roman"/>
                <w:kern w:val="0"/>
                <w:sz w:val="24"/>
                <w:szCs w:val="24"/>
              </w:rPr>
            </w:pPr>
          </w:p>
        </w:tc>
        <w:tc>
          <w:tcPr>
            <w:tcW w:w="0" w:type="auto"/>
            <w:vMerge w:val="continue"/>
            <w:tcBorders>
              <w:left w:val="nil"/>
            </w:tcBorders>
            <w:vAlign w:val="center"/>
          </w:tcPr>
          <w:p>
            <w:pPr>
              <w:widowControl/>
              <w:jc w:val="left"/>
              <w:rPr>
                <w:rFonts w:ascii="宋体" w:cs="Times New Roman"/>
                <w:kern w:val="0"/>
                <w:sz w:val="24"/>
                <w:szCs w:val="24"/>
              </w:rPr>
            </w:pPr>
          </w:p>
        </w:tc>
        <w:tc>
          <w:tcPr>
            <w:tcW w:w="55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结果维持</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结果纠正</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其他结果</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尚未审结</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总计</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结果维持</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结果纠正</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其他结果</w:t>
            </w:r>
          </w:p>
        </w:tc>
        <w:tc>
          <w:tcPr>
            <w:tcW w:w="606"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尚未审结</w:t>
            </w:r>
          </w:p>
        </w:tc>
        <w:tc>
          <w:tcPr>
            <w:tcW w:w="606"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604"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604"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604"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658"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550"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60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ascii="宋体" w:cs="Times New Roman"/>
                <w:color w:val="000000"/>
                <w:kern w:val="0"/>
                <w:sz w:val="20"/>
                <w:szCs w:val="20"/>
                <w:lang w:val="en-US" w:eastAsia="zh-CN"/>
              </w:rPr>
              <w:t>0</w:t>
            </w:r>
            <w:r>
              <w:rPr>
                <w:rFonts w:ascii="宋体" w:cs="Times New Roman"/>
                <w:color w:val="000000"/>
                <w:kern w:val="0"/>
                <w:sz w:val="20"/>
                <w:szCs w:val="20"/>
              </w:rPr>
              <w:t> </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605" w:type="dxa"/>
            <w:tcBorders>
              <w:left w:val="nil"/>
            </w:tcBorders>
            <w:vAlign w:val="center"/>
          </w:tcPr>
          <w:p>
            <w:pPr>
              <w:widowControl/>
              <w:spacing w:before="100" w:beforeAutospacing="1" w:after="100" w:afterAutospacing="1"/>
              <w:jc w:val="center"/>
              <w:rPr>
                <w:rFonts w:ascii="宋体" w:cs="Times New Roman"/>
                <w:kern w:val="0"/>
                <w:sz w:val="24"/>
                <w:szCs w:val="24"/>
              </w:rPr>
            </w:pPr>
            <w:r>
              <w:rPr>
                <w:rFonts w:hint="eastAsia" w:cs="Times New Roman"/>
                <w:sz w:val="20"/>
                <w:szCs w:val="20"/>
                <w:lang w:val="en-US" w:eastAsia="zh-CN"/>
              </w:rPr>
              <w:t>0</w:t>
            </w:r>
            <w:r>
              <w:rPr>
                <w:rFonts w:cs="Times New Roman"/>
                <w:sz w:val="20"/>
                <w:szCs w:val="20"/>
              </w:rPr>
              <w:t> </w:t>
            </w:r>
          </w:p>
        </w:tc>
        <w:tc>
          <w:tcPr>
            <w:tcW w:w="605"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ascii="宋体" w:cs="Times New Roman"/>
                <w:color w:val="000000"/>
                <w:kern w:val="0"/>
                <w:sz w:val="20"/>
                <w:szCs w:val="20"/>
              </w:rPr>
              <w:t> </w:t>
            </w:r>
            <w:r>
              <w:rPr>
                <w:rFonts w:hint="eastAsia" w:ascii="宋体" w:cs="Times New Roman"/>
                <w:color w:val="000000"/>
                <w:kern w:val="0"/>
                <w:sz w:val="20"/>
                <w:szCs w:val="20"/>
                <w:lang w:val="en-US" w:eastAsia="zh-CN"/>
              </w:rPr>
              <w:t>0</w:t>
            </w:r>
          </w:p>
        </w:tc>
        <w:tc>
          <w:tcPr>
            <w:tcW w:w="606" w:type="dxa"/>
            <w:tcBorders>
              <w:left w:val="nil"/>
            </w:tcBorders>
            <w:vAlign w:val="center"/>
          </w:tcPr>
          <w:p>
            <w:pPr>
              <w:widowControl/>
              <w:spacing w:before="100" w:beforeAutospacing="1" w:after="100" w:afterAutospacing="1"/>
              <w:jc w:val="center"/>
              <w:rPr>
                <w:rFonts w:hint="eastAsia" w:ascii="宋体" w:eastAsia="宋体" w:cs="Times New Roman"/>
                <w:kern w:val="0"/>
                <w:sz w:val="24"/>
                <w:szCs w:val="24"/>
                <w:lang w:val="en-US" w:eastAsia="zh-CN"/>
              </w:rPr>
            </w:pPr>
            <w:r>
              <w:rPr>
                <w:rFonts w:cs="Times New Roman"/>
                <w:sz w:val="20"/>
                <w:szCs w:val="20"/>
              </w:rPr>
              <w:t> </w:t>
            </w:r>
            <w:r>
              <w:rPr>
                <w:rFonts w:hint="eastAsia" w:cs="Times New Roman"/>
                <w:sz w:val="20"/>
                <w:szCs w:val="20"/>
                <w:lang w:val="en-US" w:eastAsia="zh-CN"/>
              </w:rPr>
              <w:t>0</w:t>
            </w:r>
          </w:p>
        </w:tc>
        <w:tc>
          <w:tcPr>
            <w:tcW w:w="606" w:type="dxa"/>
            <w:tcBorders>
              <w:left w:val="nil"/>
            </w:tcBorders>
            <w:vAlign w:val="center"/>
          </w:tcPr>
          <w:p>
            <w:pPr>
              <w:widowControl/>
              <w:jc w:val="left"/>
              <w:rPr>
                <w:rFonts w:hint="eastAsia" w:ascii="宋体" w:eastAsia="宋体" w:cs="Times New Roman"/>
                <w:kern w:val="0"/>
                <w:sz w:val="24"/>
                <w:szCs w:val="24"/>
                <w:lang w:val="en-US" w:eastAsia="zh-CN"/>
              </w:rPr>
            </w:pPr>
            <w:r>
              <w:rPr>
                <w:rFonts w:hint="eastAsia" w:ascii="宋体" w:cs="Times New Roman"/>
                <w:kern w:val="0"/>
                <w:sz w:val="24"/>
                <w:szCs w:val="24"/>
                <w:lang w:val="en-US" w:eastAsia="zh-CN"/>
              </w:rPr>
              <w:t>0</w:t>
            </w:r>
          </w:p>
        </w:tc>
      </w:tr>
    </w:tbl>
    <w:p>
      <w:pPr>
        <w:widowControl/>
        <w:jc w:val="center"/>
        <w:rPr>
          <w:rFonts w:ascii="宋体" w:cs="Times New Roman"/>
          <w:kern w:val="0"/>
          <w:sz w:val="24"/>
          <w:szCs w:val="24"/>
        </w:rPr>
      </w:pPr>
    </w:p>
    <w:p>
      <w:pPr>
        <w:widowControl/>
        <w:ind w:firstLine="480"/>
        <w:rPr>
          <w:rFonts w:hint="eastAsia" w:ascii="黑体" w:hAnsi="黑体" w:eastAsia="黑体" w:cs="黑体"/>
          <w:kern w:val="0"/>
          <w:sz w:val="32"/>
          <w:szCs w:val="32"/>
        </w:rPr>
      </w:pPr>
      <w:r>
        <w:rPr>
          <w:rFonts w:hint="eastAsia" w:ascii="黑体" w:hAnsi="黑体" w:eastAsia="黑体" w:cs="黑体"/>
          <w:kern w:val="0"/>
          <w:sz w:val="32"/>
          <w:szCs w:val="32"/>
        </w:rPr>
        <w:t>五、存在的主要问题及改进情况</w:t>
      </w:r>
    </w:p>
    <w:p>
      <w:pPr>
        <w:widowControl/>
        <w:spacing w:line="594" w:lineRule="exact"/>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无</w:t>
      </w:r>
    </w:p>
    <w:p>
      <w:pPr>
        <w:widowControl/>
        <w:ind w:firstLine="480"/>
        <w:rPr>
          <w:rFonts w:hint="eastAsia" w:ascii="黑体" w:hAnsi="黑体" w:eastAsia="黑体" w:cs="黑体"/>
          <w:kern w:val="0"/>
          <w:sz w:val="32"/>
          <w:szCs w:val="32"/>
        </w:rPr>
      </w:pPr>
      <w:r>
        <w:rPr>
          <w:rFonts w:hint="eastAsia" w:ascii="黑体" w:hAnsi="黑体" w:eastAsia="黑体" w:cs="黑体"/>
          <w:kern w:val="0"/>
          <w:sz w:val="32"/>
          <w:szCs w:val="32"/>
        </w:rPr>
        <w:t>六、其他需要报告的事项</w:t>
      </w:r>
    </w:p>
    <w:p>
      <w:pPr>
        <w:widowControl/>
        <w:spacing w:line="594" w:lineRule="exact"/>
        <w:ind w:firstLine="643" w:firstLineChars="200"/>
        <w:rPr>
          <w:rFonts w:hint="eastAsia" w:ascii="楷体_GB2312" w:hAnsi="宋体" w:eastAsia="楷体_GB2312" w:cs="宋体"/>
          <w:b/>
          <w:kern w:val="0"/>
          <w:sz w:val="32"/>
          <w:szCs w:val="32"/>
          <w:lang w:eastAsia="zh-CN"/>
        </w:rPr>
      </w:pPr>
      <w:bookmarkStart w:id="0" w:name="_GoBack"/>
      <w:r>
        <w:rPr>
          <w:rFonts w:hint="eastAsia" w:ascii="楷体_GB2312" w:hAnsi="宋体" w:eastAsia="楷体_GB2312" w:cs="宋体"/>
          <w:b/>
          <w:kern w:val="0"/>
          <w:sz w:val="32"/>
          <w:szCs w:val="32"/>
          <w:lang w:eastAsia="zh-CN"/>
        </w:rPr>
        <w:t>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3C1"/>
    <w:rsid w:val="001840A9"/>
    <w:rsid w:val="00413273"/>
    <w:rsid w:val="005563B3"/>
    <w:rsid w:val="00646173"/>
    <w:rsid w:val="006A63C1"/>
    <w:rsid w:val="007468F8"/>
    <w:rsid w:val="00756132"/>
    <w:rsid w:val="007D6A53"/>
    <w:rsid w:val="00860B91"/>
    <w:rsid w:val="008A6907"/>
    <w:rsid w:val="008D7CCA"/>
    <w:rsid w:val="00901530"/>
    <w:rsid w:val="00907475"/>
    <w:rsid w:val="009B6A58"/>
    <w:rsid w:val="00A054DB"/>
    <w:rsid w:val="00A2497F"/>
    <w:rsid w:val="00A537FC"/>
    <w:rsid w:val="00A55CC3"/>
    <w:rsid w:val="00AB36B5"/>
    <w:rsid w:val="00BD158D"/>
    <w:rsid w:val="00C4556A"/>
    <w:rsid w:val="00DB4B72"/>
    <w:rsid w:val="00E24646"/>
    <w:rsid w:val="00E94D62"/>
    <w:rsid w:val="00F02D2B"/>
    <w:rsid w:val="00F07B94"/>
    <w:rsid w:val="0A5369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120" w:after="120"/>
      <w:jc w:val="center"/>
      <w:outlineLvl w:val="1"/>
    </w:pPr>
    <w:rPr>
      <w:rFonts w:ascii="Cambria" w:hAnsi="Cambria" w:eastAsia="方正小标宋简体" w:cs="Cambria"/>
      <w:sz w:val="36"/>
      <w:szCs w:val="36"/>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iPriority w:val="99"/>
    <w:pPr>
      <w:ind w:left="100" w:leftChars="2500"/>
    </w:pPr>
  </w:style>
  <w:style w:type="paragraph" w:styleId="5">
    <w:name w:val="Balloon Text"/>
    <w:basedOn w:val="1"/>
    <w:link w:val="17"/>
    <w:semiHidden/>
    <w:uiPriority w:val="99"/>
    <w:rPr>
      <w:sz w:val="18"/>
      <w:szCs w:val="18"/>
    </w:rPr>
  </w:style>
  <w:style w:type="paragraph" w:styleId="6">
    <w:name w:val="footer"/>
    <w:basedOn w:val="1"/>
    <w:link w:val="16"/>
    <w:semiHidden/>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color w:val="0000FF"/>
      <w:u w:val="single"/>
    </w:rPr>
  </w:style>
  <w:style w:type="character" w:customStyle="1" w:styleId="12">
    <w:name w:val="Heading 1 Char"/>
    <w:basedOn w:val="10"/>
    <w:link w:val="2"/>
    <w:qFormat/>
    <w:locked/>
    <w:uiPriority w:val="99"/>
    <w:rPr>
      <w:rFonts w:ascii="Calibri" w:hAnsi="Calibri" w:eastAsia="宋体" w:cs="Calibri"/>
      <w:b/>
      <w:bCs/>
      <w:kern w:val="44"/>
      <w:sz w:val="44"/>
      <w:szCs w:val="44"/>
    </w:rPr>
  </w:style>
  <w:style w:type="character" w:customStyle="1" w:styleId="13">
    <w:name w:val="Heading 2 Char"/>
    <w:basedOn w:val="10"/>
    <w:link w:val="3"/>
    <w:locked/>
    <w:uiPriority w:val="99"/>
    <w:rPr>
      <w:rFonts w:ascii="Cambria" w:hAnsi="Cambria" w:eastAsia="方正小标宋简体" w:cs="Cambria"/>
      <w:sz w:val="36"/>
      <w:szCs w:val="36"/>
    </w:rPr>
  </w:style>
  <w:style w:type="character" w:customStyle="1" w:styleId="14">
    <w:name w:val="Date Char"/>
    <w:basedOn w:val="10"/>
    <w:link w:val="4"/>
    <w:semiHidden/>
    <w:qFormat/>
    <w:locked/>
    <w:uiPriority w:val="99"/>
    <w:rPr>
      <w:rFonts w:ascii="Calibri" w:hAnsi="Calibri" w:eastAsia="宋体" w:cs="Calibri"/>
      <w:sz w:val="21"/>
      <w:szCs w:val="21"/>
    </w:rPr>
  </w:style>
  <w:style w:type="character" w:customStyle="1" w:styleId="15">
    <w:name w:val="Header Char"/>
    <w:basedOn w:val="10"/>
    <w:link w:val="7"/>
    <w:semiHidden/>
    <w:locked/>
    <w:uiPriority w:val="99"/>
    <w:rPr>
      <w:rFonts w:ascii="Calibri" w:hAnsi="Calibri" w:eastAsia="宋体" w:cs="Calibri"/>
      <w:sz w:val="18"/>
      <w:szCs w:val="18"/>
    </w:rPr>
  </w:style>
  <w:style w:type="character" w:customStyle="1" w:styleId="16">
    <w:name w:val="Footer Char"/>
    <w:basedOn w:val="10"/>
    <w:link w:val="6"/>
    <w:semiHidden/>
    <w:qFormat/>
    <w:locked/>
    <w:uiPriority w:val="99"/>
    <w:rPr>
      <w:rFonts w:ascii="Calibri" w:hAnsi="Calibri" w:eastAsia="宋体" w:cs="Calibri"/>
      <w:sz w:val="18"/>
      <w:szCs w:val="18"/>
    </w:rPr>
  </w:style>
  <w:style w:type="character" w:customStyle="1" w:styleId="17">
    <w:name w:val="Balloon Text Char"/>
    <w:basedOn w:val="10"/>
    <w:link w:val="5"/>
    <w:semiHidden/>
    <w:qFormat/>
    <w:locked/>
    <w:uiPriority w:val="99"/>
    <w:rPr>
      <w:rFonts w:ascii="Calibri" w:hAnsi="Calibri" w:eastAsia="宋体" w:cs="Calibri"/>
      <w:sz w:val="18"/>
      <w:szCs w:val="18"/>
    </w:rPr>
  </w:style>
  <w:style w:type="character" w:customStyle="1" w:styleId="18">
    <w:name w:val="font"/>
    <w:basedOn w:val="10"/>
    <w:uiPriority w:val="99"/>
  </w:style>
  <w:style w:type="character" w:customStyle="1" w:styleId="19">
    <w:name w:val="bigger"/>
    <w:basedOn w:val="10"/>
    <w:qFormat/>
    <w:uiPriority w:val="99"/>
  </w:style>
  <w:style w:type="character" w:customStyle="1" w:styleId="20">
    <w:name w:val="medium"/>
    <w:basedOn w:val="10"/>
    <w:qFormat/>
    <w:uiPriority w:val="99"/>
  </w:style>
  <w:style w:type="character" w:customStyle="1" w:styleId="21">
    <w:name w:val="smaller"/>
    <w:basedOn w:val="10"/>
    <w:uiPriority w:val="99"/>
  </w:style>
  <w:style w:type="character" w:customStyle="1" w:styleId="22">
    <w:name w:val="gwds_more"/>
    <w:basedOn w:val="10"/>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201</Words>
  <Characters>1150</Characters>
  <Lines>0</Lines>
  <Paragraphs>0</Paragraphs>
  <TotalTime>14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2019-12-03T02:47:00Z</dcterms:created>
  <dc:creator>undefined</dc:creator>
  <cp:lastModifiedBy>江</cp:lastModifiedBy>
  <dcterms:modified xsi:type="dcterms:W3CDTF">2021-01-22T09:44:24Z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